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extended-properties+xml" PartName="/docProps/app.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wordprocessingml.footer+xml" PartName="/word/footer1.xml"/>
  <Override ContentType="application/vnd.openxmlformats-officedocument.wordprocessingml.header+xml" PartName="/word/header1.xml"/>
  <Override ContentType="application/vnd.openxmlformats-officedocument.wordprocessingml.settings+xml" PartName="/word/settings.xml"/>
</Types>
</file>

<file path=_rels/.rels><?xml version="1.0" encoding="UTF-8" standalone="yes"?>
<Relationships xmlns="http://schemas.openxmlformats.org/package/2006/relationships">
<Relationship Id="rId1" Target="word/document.xml" Type="http://schemas.openxmlformats.org/officeDocument/2006/relationships/officeDocument"/>
<Relationship Id="rId2" Target="docProps/app.xml" Type="http://schemas.openxmlformats.org/officeDocument/2006/relationships/extended-properties"/>
<Relationship Id="rId3" Target="docProps/core.xml" Type="http://schemas.openxmlformats.org/package/2006/relationships/metadata/core-properties"/>
</Relationships>

</file>

<file path=word/document.xml><?xml version="1.0" encoding="utf-8"?>
<w:document xmlns:w="http://schemas.openxmlformats.org/wordprocessingml/2006/main" xmlns:r="http://schemas.openxmlformats.org/officeDocument/2006/relationships">
  <w:body>
    <w:p>
      <w:pPr>
        <w:spacing w:before="0" w:after="0" w:lineRule="exact" w:line="1155"/>
      </w:pPr>
    </w:p>
    <w:p>
      <w:pPr>
        <w:spacing w:before="0" w:after="0" w:lineRule="exact" w:line="1200"/>
      </w:pPr>
    </w:p>
    <w:p>
      <w:pPr>
        <w:wordWrap w:val="off"/>
        <w:spacing w:before="49" w:after="49"/>
        <w:jc w:val="center"/>
      </w:pPr>
      <w:r>
        <w:rPr>
          <w:rFonts w:ascii="宋体" w:hAnsi="宋体" w:cs="宋体" w:eastAsia="宋体"/>
          <w:b w:val="true"/>
          <w:color w:val="000000"/>
          <w:sz w:val="72"/>
        </w:rPr>
        <w:t>苏州科技大学</w:t>
      </w:r>
    </w:p>
    <w:p>
      <w:pPr>
        <w:spacing w:before="0" w:after="0" w:lineRule="exact" w:line="225"/>
      </w:pPr>
    </w:p>
    <w:p>
      <w:pPr>
        <w:wordWrap w:val="off"/>
        <w:jc w:val="center"/>
      </w:pPr>
      <w:r>
        <w:rPr>
          <w:rFonts w:ascii="宋体" w:hAnsi="宋体" w:cs="宋体" w:eastAsia="宋体"/>
          <w:b w:val="true"/>
          <w:color w:val="000000"/>
          <w:sz w:val="72"/>
        </w:rPr>
        <w:t>竞争性磋商文件</w:t>
      </w:r>
    </w:p>
    <w:p>
      <w:pPr>
        <w:spacing w:before="0" w:after="0" w:lineRule="exact" w:line="225"/>
      </w:pPr>
    </w:p>
    <w:p>
      <w:pPr>
        <w:spacing w:before="0" w:after="0" w:lineRule="exact" w:line="3195"/>
      </w:pPr>
    </w:p>
    <w:tbl>
      <w:tblPr>
        <w:tblW w:w="0" w:type="auto"/>
        <w:tblBorders>
          <w:top w:val="single"/>
          <w:left w:val="single"/>
          <w:bottom w:val="single"/>
          <w:right w:val="single"/>
          <w:insideH w:val="single"/>
          <w:insideV w:val="single"/>
        </w:tblBorders>
      </w:tblPr>
      <w:tblPr>
        <w:tblW w:type="dxa" w:w="9585"/>
        <w:jc w:val="center"/>
        <w:tblBorders>
          <w:top w:val="nil"/>
          <w:left w:val="nil"/>
          <w:bottom w:val="nil"/>
          <w:right w:val="nil"/>
        </w:tblBorders>
      </w:tblPr>
      <w:tr>
        <w:trPr>
          <w:trHeight w:val="480"/>
        </w:trPr>
        <w:tc>
          <w:tcPr>
            <w:tcW w:type="dxa" w:w="255"/>
            <w:tcBorders>
              <w:top w:val="nil"/>
              <w:left w:val="nil"/>
              <w:bottom w:val="nil"/>
              <w:right w:val="nil"/>
            </w:tcBorders>
            <w:tcMar>
              <w:top w:w="20" w:type="dxa"/>
              <w:left w:w="20" w:type="dxa"/>
              <w:bottom w:w="20" w:type="dxa"/>
              <w:right w:w="20" w:type="dxa"/>
            </w:tcMar>
            <w:vAlign w:val="center"/>
          </w:tcPr>
          <w:p>
            <w:pPr>
              <w:wordWrap w:val="off"/>
            </w:pPr>
          </w:p>
        </w:tc>
        <w:tc>
          <w:tcPr>
            <w:tcW w:type="dxa" w:w="1755"/>
            <w:tcBorders>
              <w:top w:val="nil"/>
              <w:left w:val="nil"/>
              <w:bottom w:val="nil"/>
              <w:right w:val="nil"/>
            </w:tcBorders>
            <w:tcMar>
              <w:top w:w="20" w:type="dxa"/>
              <w:left w:w="20" w:type="dxa"/>
              <w:bottom w:w="20" w:type="dxa"/>
              <w:right w:w="20" w:type="dxa"/>
            </w:tcMar>
            <w:vAlign w:val="bottom"/>
          </w:tcPr>
          <w:p>
            <w:pPr>
              <w:wordWrap w:val="off"/>
              <w:spacing w:lineRule="exact" w:line="503"/>
              <w:jc w:val="right"/>
            </w:pPr>
            <w:r>
              <w:rPr>
                <w:rFonts w:ascii="黑体" w:hAnsi="黑体" w:cs="黑体" w:eastAsia="黑体"/>
                <w:color w:val="000000"/>
                <w:sz w:val="28"/>
              </w:rPr>
              <w:t>项目编号：</w:t>
            </w:r>
          </w:p>
        </w:tc>
        <w:tc>
          <w:tcPr>
            <w:tcW w:type="dxa" w:w="7320"/>
            <w:tcBorders>
              <w:top w:val="nil"/>
              <w:left w:val="nil"/>
              <w:bottom w:val="nil"/>
              <w:right w:val="nil"/>
            </w:tcBorders>
            <w:tcMar>
              <w:top w:w="20" w:type="dxa"/>
              <w:left w:w="20" w:type="dxa"/>
              <w:bottom w:w="20" w:type="dxa"/>
              <w:right w:w="20" w:type="dxa"/>
            </w:tcMar>
            <w:vAlign w:val="center"/>
          </w:tcPr>
          <w:p>
            <w:pPr>
              <w:wordWrap w:val="off"/>
              <w:spacing w:lineRule="exact" w:line="503"/>
              <w:jc w:val="center"/>
            </w:pPr>
            <w:r>
              <w:rPr>
                <w:rFonts w:ascii="黑体" w:hAnsi="黑体" w:cs="黑体" w:eastAsia="黑体"/>
                <w:color w:val="000000"/>
                <w:sz w:val="28"/>
              </w:rPr>
              <w:t>20250083号</w:t>
            </w:r>
          </w:p>
        </w:tc>
        <w:tc>
          <w:tcPr>
            <w:tcW w:type="dxa" w:w="255"/>
            <w:tcBorders>
              <w:top w:val="nil"/>
              <w:left w:val="nil"/>
              <w:bottom w:val="nil"/>
              <w:right w:val="nil"/>
            </w:tcBorders>
            <w:tcMar>
              <w:top w:w="20" w:type="dxa"/>
              <w:left w:w="20" w:type="dxa"/>
              <w:bottom w:w="20" w:type="dxa"/>
              <w:right w:w="20" w:type="dxa"/>
            </w:tcMar>
            <w:vAlign w:val="center"/>
          </w:tcPr>
          <w:p>
            <w:pPr>
              <w:wordWrap w:val="off"/>
            </w:pPr>
          </w:p>
        </w:tc>
      </w:tr>
      <w:tr>
        <w:trPr>
          <w:trHeight w:val="480"/>
        </w:trPr>
        <w:tc>
          <w:tcPr>
            <w:tcW w:type="dxa" w:w="255"/>
            <w:tcBorders>
              <w:top w:val="nil"/>
              <w:left w:val="nil"/>
              <w:bottom w:val="nil"/>
              <w:right w:val="nil"/>
            </w:tcBorders>
            <w:tcMar>
              <w:top w:w="20" w:type="dxa"/>
              <w:left w:w="20" w:type="dxa"/>
              <w:bottom w:w="20" w:type="dxa"/>
              <w:right w:w="20" w:type="dxa"/>
            </w:tcMar>
            <w:vAlign w:val="center"/>
          </w:tcPr>
          <w:p>
            <w:pPr>
              <w:wordWrap w:val="off"/>
            </w:pPr>
          </w:p>
        </w:tc>
        <w:tc>
          <w:tcPr>
            <w:tcW w:type="dxa" w:w="1755"/>
            <w:tcBorders>
              <w:top w:val="nil"/>
              <w:left w:val="nil"/>
              <w:bottom w:val="nil"/>
              <w:right w:val="nil"/>
            </w:tcBorders>
            <w:tcMar>
              <w:top w:w="20" w:type="dxa"/>
              <w:left w:w="20" w:type="dxa"/>
              <w:bottom w:w="20" w:type="dxa"/>
              <w:right w:w="20" w:type="dxa"/>
            </w:tcMar>
            <w:vAlign w:val="bottom"/>
          </w:tcPr>
          <w:p>
            <w:pPr>
              <w:wordWrap w:val="off"/>
              <w:spacing w:lineRule="exact" w:line="503"/>
              <w:jc w:val="right"/>
            </w:pPr>
            <w:r>
              <w:rPr>
                <w:rFonts w:ascii="黑体" w:hAnsi="黑体" w:cs="黑体" w:eastAsia="黑体"/>
                <w:color w:val="000000"/>
                <w:sz w:val="28"/>
              </w:rPr>
              <w:t>项目名称：</w:t>
            </w:r>
          </w:p>
        </w:tc>
        <w:tc>
          <w:tcPr>
            <w:tcW w:type="dxa" w:w="7320"/>
            <w:tcBorders>
              <w:top w:val="single" w:sz="6"/>
              <w:left w:val="nil"/>
              <w:bottom w:val="nil"/>
              <w:right w:val="nil"/>
            </w:tcBorders>
            <w:tcMar>
              <w:top w:w="20" w:type="dxa"/>
              <w:left w:w="20" w:type="dxa"/>
              <w:bottom w:w="20" w:type="dxa"/>
              <w:right w:w="20" w:type="dxa"/>
            </w:tcMar>
            <w:vAlign w:val="center"/>
          </w:tcPr>
          <w:p>
            <w:pPr>
              <w:wordWrap w:val="off"/>
              <w:spacing w:lineRule="exact" w:line="503"/>
              <w:jc w:val="center"/>
            </w:pPr>
            <w:r>
              <w:rPr>
                <w:rFonts w:ascii="黑体" w:hAnsi="黑体" w:cs="黑体" w:eastAsia="黑体"/>
                <w:color w:val="000000"/>
                <w:sz w:val="28"/>
              </w:rPr>
              <w:t>信息中心WEB资源发布系统</w:t>
            </w:r>
          </w:p>
        </w:tc>
        <w:tc>
          <w:tcPr>
            <w:tcW w:type="dxa" w:w="255"/>
            <w:tcBorders>
              <w:top w:val="nil"/>
              <w:left w:val="nil"/>
              <w:bottom w:val="nil"/>
              <w:right w:val="nil"/>
            </w:tcBorders>
            <w:tcMar>
              <w:top w:w="20" w:type="dxa"/>
              <w:left w:w="20" w:type="dxa"/>
              <w:bottom w:w="20" w:type="dxa"/>
              <w:right w:w="20" w:type="dxa"/>
            </w:tcMar>
            <w:vAlign w:val="center"/>
          </w:tcPr>
          <w:p>
            <w:pPr>
              <w:wordWrap w:val="off"/>
            </w:pPr>
          </w:p>
        </w:tc>
      </w:tr>
      <w:tr>
        <w:trPr>
          <w:trHeight w:val="480"/>
        </w:trPr>
        <w:tc>
          <w:tcPr>
            <w:tcW w:type="dxa" w:w="255"/>
            <w:tcBorders>
              <w:top w:val="nil"/>
              <w:left w:val="nil"/>
              <w:bottom w:val="nil"/>
              <w:right w:val="nil"/>
            </w:tcBorders>
            <w:tcMar>
              <w:top w:w="20" w:type="dxa"/>
              <w:left w:w="20" w:type="dxa"/>
              <w:bottom w:w="20" w:type="dxa"/>
              <w:right w:w="20" w:type="dxa"/>
            </w:tcMar>
            <w:vAlign w:val="center"/>
          </w:tcPr>
          <w:p>
            <w:pPr>
              <w:wordWrap w:val="off"/>
            </w:pPr>
          </w:p>
        </w:tc>
        <w:tc>
          <w:tcPr>
            <w:tcW w:type="dxa" w:w="1755"/>
            <w:tcBorders>
              <w:top w:val="nil"/>
              <w:left w:val="nil"/>
              <w:bottom w:val="nil"/>
              <w:right w:val="nil"/>
            </w:tcBorders>
            <w:tcMar>
              <w:top w:w="20" w:type="dxa"/>
              <w:left w:w="20" w:type="dxa"/>
              <w:bottom w:w="20" w:type="dxa"/>
              <w:right w:w="20" w:type="dxa"/>
            </w:tcMar>
            <w:vAlign w:val="bottom"/>
          </w:tcPr>
          <w:p>
            <w:pPr>
              <w:wordWrap w:val="off"/>
              <w:spacing w:lineRule="exact" w:line="503"/>
              <w:jc w:val="right"/>
            </w:pPr>
            <w:r>
              <w:rPr>
                <w:rFonts w:ascii="黑体" w:hAnsi="黑体" w:cs="黑体" w:eastAsia="黑体"/>
                <w:color w:val="000000"/>
                <w:sz w:val="28"/>
              </w:rPr>
              <w:t>采购类别：</w:t>
            </w:r>
          </w:p>
        </w:tc>
        <w:tc>
          <w:tcPr>
            <w:tcW w:type="dxa" w:w="7320"/>
            <w:tcBorders>
              <w:top w:val="single" w:sz="6"/>
              <w:left w:val="nil"/>
              <w:bottom w:val="nil"/>
              <w:right w:val="nil"/>
            </w:tcBorders>
            <w:tcMar>
              <w:top w:w="20" w:type="dxa"/>
              <w:left w:w="20" w:type="dxa"/>
              <w:bottom w:w="20" w:type="dxa"/>
              <w:right w:w="20" w:type="dxa"/>
            </w:tcMar>
            <w:vAlign w:val="center"/>
          </w:tcPr>
          <w:p>
            <w:pPr>
              <w:wordWrap w:val="off"/>
              <w:spacing w:lineRule="exact" w:line="503"/>
              <w:jc w:val="center"/>
            </w:pPr>
            <w:r>
              <w:rPr>
                <w:rFonts w:ascii="黑体" w:hAnsi="黑体" w:cs="黑体" w:eastAsia="黑体"/>
                <w:color w:val="000000"/>
                <w:sz w:val="28"/>
              </w:rPr>
              <w:t>货物类</w:t>
            </w:r>
          </w:p>
        </w:tc>
        <w:tc>
          <w:tcPr>
            <w:tcW w:type="dxa" w:w="255"/>
            <w:tcBorders>
              <w:top w:val="nil"/>
              <w:left w:val="nil"/>
              <w:bottom w:val="nil"/>
              <w:right w:val="nil"/>
            </w:tcBorders>
            <w:tcMar>
              <w:top w:w="20" w:type="dxa"/>
              <w:left w:w="20" w:type="dxa"/>
              <w:bottom w:w="20" w:type="dxa"/>
              <w:right w:w="20" w:type="dxa"/>
            </w:tcMar>
            <w:vAlign w:val="center"/>
          </w:tcPr>
          <w:p>
            <w:pPr>
              <w:wordWrap w:val="off"/>
            </w:pPr>
          </w:p>
        </w:tc>
      </w:tr>
      <w:tr>
        <w:trPr>
          <w:trHeight w:val="480"/>
        </w:trPr>
        <w:tc>
          <w:tcPr>
            <w:tcW w:type="dxa" w:w="255"/>
            <w:tcBorders>
              <w:top w:val="nil"/>
              <w:left w:val="nil"/>
              <w:bottom w:val="nil"/>
              <w:right w:val="nil"/>
            </w:tcBorders>
            <w:tcMar>
              <w:top w:w="20" w:type="dxa"/>
              <w:left w:w="20" w:type="dxa"/>
              <w:bottom w:w="20" w:type="dxa"/>
              <w:right w:w="20" w:type="dxa"/>
            </w:tcMar>
            <w:vAlign w:val="center"/>
          </w:tcPr>
          <w:p>
            <w:pPr>
              <w:wordWrap w:val="off"/>
            </w:pPr>
          </w:p>
        </w:tc>
        <w:tc>
          <w:tcPr>
            <w:tcW w:type="dxa" w:w="1755"/>
            <w:tcBorders>
              <w:top w:val="nil"/>
              <w:left w:val="nil"/>
              <w:bottom w:val="nil"/>
              <w:right w:val="nil"/>
            </w:tcBorders>
            <w:tcMar>
              <w:top w:w="20" w:type="dxa"/>
              <w:left w:w="20" w:type="dxa"/>
              <w:bottom w:w="20" w:type="dxa"/>
              <w:right w:w="20" w:type="dxa"/>
            </w:tcMar>
            <w:vAlign w:val="bottom"/>
          </w:tcPr>
          <w:p>
            <w:pPr>
              <w:wordWrap w:val="off"/>
              <w:spacing w:lineRule="exact" w:line="503"/>
              <w:jc w:val="right"/>
            </w:pPr>
            <w:r>
              <w:rPr>
                <w:rFonts w:ascii="黑体" w:hAnsi="黑体" w:cs="黑体" w:eastAsia="黑体"/>
                <w:color w:val="000000"/>
                <w:sz w:val="28"/>
              </w:rPr>
              <w:t>采 购 人：</w:t>
            </w:r>
          </w:p>
        </w:tc>
        <w:tc>
          <w:tcPr>
            <w:tcW w:type="dxa" w:w="7320"/>
            <w:tcBorders>
              <w:top w:val="single" w:sz="6"/>
              <w:left w:val="nil"/>
              <w:bottom w:val="nil"/>
              <w:right w:val="nil"/>
            </w:tcBorders>
            <w:tcMar>
              <w:top w:w="20" w:type="dxa"/>
              <w:left w:w="20" w:type="dxa"/>
              <w:bottom w:w="20" w:type="dxa"/>
              <w:right w:w="20" w:type="dxa"/>
            </w:tcMar>
            <w:vAlign w:val="center"/>
          </w:tcPr>
          <w:p>
            <w:pPr>
              <w:wordWrap w:val="off"/>
              <w:spacing w:lineRule="exact" w:line="503"/>
              <w:jc w:val="center"/>
            </w:pPr>
            <w:r>
              <w:rPr>
                <w:rFonts w:ascii="黑体" w:hAnsi="黑体" w:cs="黑体" w:eastAsia="黑体"/>
                <w:color w:val="000000"/>
                <w:sz w:val="28"/>
              </w:rPr>
              <w:t>苏州科技大学</w:t>
            </w:r>
          </w:p>
        </w:tc>
        <w:tc>
          <w:tcPr>
            <w:tcW w:type="dxa" w:w="255"/>
            <w:tcBorders>
              <w:top w:val="nil"/>
              <w:left w:val="nil"/>
              <w:bottom w:val="nil"/>
              <w:right w:val="nil"/>
            </w:tcBorders>
            <w:tcMar>
              <w:top w:w="20" w:type="dxa"/>
              <w:left w:w="20" w:type="dxa"/>
              <w:bottom w:w="20" w:type="dxa"/>
              <w:right w:w="20" w:type="dxa"/>
            </w:tcMar>
            <w:vAlign w:val="center"/>
          </w:tcPr>
          <w:p>
            <w:pPr>
              <w:wordWrap w:val="off"/>
            </w:pPr>
          </w:p>
        </w:tc>
      </w:tr>
      <w:tr>
        <w:trPr>
          <w:trHeight w:val="195" w:hRule="exact"/>
        </w:trPr>
        <w:tc>
          <w:tcPr>
            <w:tcW w:type="dxa" w:w="255"/>
            <w:tcBorders>
              <w:top w:val="nil"/>
              <w:left w:val="nil"/>
              <w:bottom w:val="nil"/>
              <w:right w:val="nil"/>
            </w:tcBorders>
            <w:tcMar>
              <w:top w:w="20" w:type="dxa"/>
              <w:left w:w="20" w:type="dxa"/>
              <w:bottom w:w="20" w:type="dxa"/>
              <w:right w:w="20" w:type="dxa"/>
            </w:tcMar>
            <w:vAlign w:val="bottom"/>
          </w:tcPr>
          <w:p>
            <w:pPr>
              <w:wordWrap w:val="off"/>
            </w:pPr>
          </w:p>
        </w:tc>
        <w:tc>
          <w:tcPr>
            <w:tcW w:type="dxa" w:w="1755"/>
            <w:tcBorders>
              <w:top w:val="nil"/>
              <w:left w:val="nil"/>
              <w:bottom w:val="nil"/>
              <w:right w:val="nil"/>
            </w:tcBorders>
            <w:tcMar>
              <w:top w:w="20" w:type="dxa"/>
              <w:left w:w="20" w:type="dxa"/>
              <w:bottom w:w="20" w:type="dxa"/>
              <w:right w:w="20" w:type="dxa"/>
            </w:tcMar>
            <w:vAlign w:val="bottom"/>
          </w:tcPr>
          <w:p>
            <w:pPr>
              <w:wordWrap w:val="off"/>
            </w:pPr>
          </w:p>
        </w:tc>
        <w:tc>
          <w:tcPr>
            <w:tcW w:type="dxa" w:w="7320"/>
            <w:tcBorders>
              <w:top w:val="single" w:sz="6"/>
              <w:left w:val="nil"/>
              <w:bottom w:val="nil"/>
              <w:right w:val="nil"/>
            </w:tcBorders>
            <w:tcMar>
              <w:top w:w="20" w:type="dxa"/>
              <w:left w:w="20" w:type="dxa"/>
              <w:bottom w:w="20" w:type="dxa"/>
              <w:right w:w="20" w:type="dxa"/>
            </w:tcMar>
            <w:vAlign w:val="bottom"/>
          </w:tcPr>
          <w:p>
            <w:pPr>
              <w:wordWrap w:val="off"/>
            </w:pPr>
          </w:p>
        </w:tc>
        <w:tc>
          <w:tcPr>
            <w:tcW w:type="dxa" w:w="255"/>
            <w:tcBorders>
              <w:top w:val="nil"/>
              <w:left w:val="nil"/>
              <w:bottom w:val="nil"/>
              <w:right w:val="nil"/>
            </w:tcBorders>
            <w:tcMar>
              <w:top w:w="20" w:type="dxa"/>
              <w:left w:w="20" w:type="dxa"/>
              <w:bottom w:w="20" w:type="dxa"/>
              <w:right w:w="20" w:type="dxa"/>
            </w:tcMar>
            <w:vAlign w:val="bottom"/>
          </w:tcPr>
          <w:p>
            <w:pPr>
              <w:wordWrap w:val="off"/>
            </w:pPr>
          </w:p>
        </w:tc>
      </w:tr>
    </w:tbl>
    <w:p>
      <w:pPr>
        <w:spacing w:before="0" w:after="0" w:lineRule="exact" w:line="195"/>
      </w:pPr>
    </w:p>
    <w:p>
      <w:pPr>
        <w:spacing w:before="0" w:after="0" w:lineRule="exact" w:line="1350"/>
      </w:pPr>
    </w:p>
    <w:p>
      <w:pPr>
        <w:wordWrap w:val="off"/>
        <w:spacing w:before="73" w:after="73"/>
        <w:jc w:val="center"/>
      </w:pPr>
      <w:r>
        <w:rPr>
          <w:rFonts w:ascii="华文中宋" w:hAnsi="华文中宋" w:cs="华文中宋" w:eastAsia="华文中宋"/>
          <w:color w:val="000000"/>
          <w:sz w:val="36"/>
        </w:rPr>
        <w:t>苏州科技大学招投标管理办公室</w:t>
      </w:r>
    </w:p>
    <w:p>
      <w:pPr>
        <w:wordWrap w:val="off"/>
        <w:spacing w:before="109" w:after="109"/>
        <w:jc w:val="center"/>
      </w:pPr>
      <w:r>
        <w:rPr>
          <w:rFonts w:ascii="华文中宋" w:hAnsi="华文中宋" w:cs="华文中宋" w:eastAsia="华文中宋"/>
          <w:color w:val="000000"/>
          <w:sz w:val="32"/>
        </w:rPr>
        <w:t>2025年11月26日</w:t>
      </w:r>
    </w:p>
    <w:p>
      <w:pPr>
        <w:spacing w:before="0" w:after="0" w:lineRule="exact" w:line="225"/>
      </w:pPr>
    </w:p>
    <w:p>
      <w:pPr>
        <w:sectPr>
          <w:headerReference w:type="default" r:id="rId2"/>
          <w:pgSz w:w="11907" w:h="16839" w:orient="portrait"/>
          <w:pgMar w:top="1077" w:right="1154" w:bottom="1077" w:left="1154"/>
        </w:sectPr>
      </w:pPr>
    </w:p>
    <w:p>
      <w:pPr>
        <w:wordWrap w:val="off"/>
        <w:spacing w:after="700"/>
        <w:jc w:val="center"/>
      </w:pPr>
      <w:r>
        <w:rPr>
          <w:rFonts w:ascii="华文中宋" w:hAnsi="华文中宋" w:cs="华文中宋" w:eastAsia="华文中宋"/>
          <w:b w:val="true"/>
          <w:sz w:val="36"/>
        </w:rPr>
        <w:t>目　录</w:t>
      </w:r>
    </w:p>
    <w:p>
      <w:pPr>
        <w:wordWrap w:val="off"/>
      </w:pPr>
      <w:fldSimple w:instr="TOC \o &quot;1-3&quot; \h \z \u" w:dirty="true"/>
    </w:p>
    <w:p>
      <w:pPr>
        <w:sectPr>
          <w:pgSz w:w="11907" w:h="16839" w:orient="portrait"/>
          <w:pgMar w:top="1077" w:right="1154" w:bottom="1077" w:left="1154"/>
        </w:sectPr>
      </w:pPr>
    </w:p>
    <w:p>
      <w:pPr>
        <w:wordWrap w:val="off"/>
        <w:spacing w:before="75" w:after="75"/>
        <w:jc w:val="center"/>
        <w:outlineLvl w:val="0"/>
      </w:pPr>
      <w:r>
        <w:rPr>
          <w:rFonts w:ascii="宋体" w:hAnsi="宋体" w:cs="宋体" w:eastAsia="宋体"/>
          <w:b w:val="true"/>
          <w:color w:val="000000"/>
          <w:sz w:val="40"/>
        </w:rPr>
        <w:t>第一章 竞争性磋商公告</w:t>
      </w:r>
    </w:p>
    <w:tbl>
      <w:tblPr>
        <w:tblW w:w="0" w:type="auto"/>
        <w:tblBorders>
          <w:top w:val="single"/>
          <w:left w:val="single"/>
          <w:bottom w:val="single"/>
          <w:right w:val="single"/>
          <w:insideH w:val="single"/>
          <w:insideV w:val="single"/>
        </w:tblBorders>
      </w:tblPr>
      <w:tblPr>
        <w:tblW w:type="dxa" w:w="9585"/>
        <w:jc w:val="center"/>
        <w:tblBorders>
          <w:top w:val="nil"/>
          <w:left w:val="nil"/>
          <w:bottom w:val="nil"/>
          <w:right w:val="nil"/>
        </w:tblBorders>
      </w:tblPr>
      <w:tr>
        <w:trPr>
          <w:trHeight w:val="975"/>
        </w:trPr>
        <w:tc>
          <w:tcPr>
            <w:tcW w:type="dxa" w:w="9585"/>
            <w:hMerge w:val="restart"/>
            <w:tcBorders>
              <w:top w:val="single" w:sz="6"/>
              <w:left w:val="single" w:sz="6"/>
              <w:bottom w:val="single" w:sz="6"/>
              <w:right w:val="single" w:sz="6"/>
            </w:tcBorders>
            <w:tcMar>
              <w:top w:w="20" w:type="dxa"/>
              <w:left w:w="20" w:type="dxa"/>
              <w:bottom w:w="20" w:type="dxa"/>
              <w:right w:w="20" w:type="dxa"/>
            </w:tcMar>
            <w:vAlign w:val="top"/>
          </w:tcPr>
          <w:p>
            <w:pPr>
              <w:wordWrap w:val="off"/>
              <w:spacing w:lineRule="exact" w:line="378"/>
              <w:ind w:firstLineChars="200"/>
              <w:jc w:val="left"/>
            </w:pPr>
            <w:r>
              <w:rPr>
                <w:rFonts w:ascii="宋体" w:hAnsi="宋体" w:cs="宋体" w:eastAsia="宋体"/>
                <w:color w:val="000000"/>
                <w:sz w:val="21"/>
              </w:rPr>
              <w:t/>
            </w:r>
            <w:r>
              <w:rPr>
                <w:rFonts w:ascii="宋体" w:hAnsi="宋体" w:cs="宋体" w:eastAsia="宋体"/>
                <w:b w:val="true"/>
                <w:color w:val="000000"/>
                <w:sz w:val="21"/>
              </w:rPr>
              <w:t>项目概况</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苏州科技大学</w:t>
            </w:r>
            <w:r>
              <w:rPr>
                <w:rFonts w:ascii="宋体" w:hAnsi="宋体" w:cs="宋体" w:eastAsia="宋体"/>
                <w:color w:val="000000"/>
                <w:sz w:val="21"/>
                <w:u w:val="single"/>
              </w:rPr>
              <w:t>信息中心WEB资源发布系统</w:t>
            </w:r>
            <w:r>
              <w:rPr>
                <w:rFonts w:ascii="宋体" w:hAnsi="宋体" w:cs="宋体" w:eastAsia="宋体"/>
                <w:color w:val="000000"/>
                <w:sz w:val="21"/>
              </w:rPr>
              <w:t xml:space="preserve">采购项目的潜在供应商应在 </w:t>
            </w:r>
            <w:r>
              <w:rPr>
                <w:rFonts w:ascii="宋体" w:hAnsi="宋体" w:cs="宋体" w:eastAsia="宋体"/>
                <w:color w:val="000000"/>
                <w:sz w:val="21"/>
                <w:u w:val="single"/>
              </w:rPr>
              <w:t>苏州科技大学官网招标公告栏目</w:t>
            </w:r>
            <w:r>
              <w:rPr>
                <w:rFonts w:ascii="宋体" w:hAnsi="宋体" w:cs="宋体" w:eastAsia="宋体"/>
                <w:color w:val="000000"/>
                <w:sz w:val="21"/>
              </w:rPr>
              <w:t xml:space="preserve"> 获取采购文件，并于 </w:t>
            </w:r>
            <w:r>
              <w:rPr>
                <w:rFonts w:ascii="宋体" w:hAnsi="宋体" w:cs="宋体" w:eastAsia="宋体"/>
                <w:color w:val="000000"/>
                <w:sz w:val="21"/>
                <w:u w:val="single"/>
              </w:rPr>
              <w:t>2025年12月09日 14时30分</w:t>
            </w:r>
            <w:r>
              <w:rPr>
                <w:rFonts w:ascii="宋体" w:hAnsi="宋体" w:cs="宋体" w:eastAsia="宋体"/>
                <w:color w:val="000000"/>
                <w:sz w:val="21"/>
              </w:rPr>
              <w:t>（北京时间）前提交响应文件。</w:t>
            </w:r>
          </w:p>
        </w:tc>
        <w:tc>
          <w:tcPr>
            <w:hMerge w:val="continue"/>
            <w:tcBorders>
              <w:top w:val="single" w:sz="6"/>
              <w:left w:val="single" w:sz="6"/>
              <w:bottom w:val="single" w:sz="6"/>
              <w:right w:val="single" w:sz="6"/>
            </w:tcBorders>
          </w:tcPr>
          <w:p/>
        </w:tc>
        <w:tc>
          <w:tcPr>
            <w:hMerge w:val="continue"/>
            <w:tcBorders>
              <w:top w:val="single" w:sz="6"/>
              <w:left w:val="single" w:sz="6"/>
              <w:bottom w:val="single" w:sz="6"/>
              <w:right w:val="single" w:sz="6"/>
            </w:tcBorders>
          </w:tcPr>
          <w:p/>
        </w:tc>
      </w:tr>
    </w:tbl>
    <w:p>
      <w:pPr>
        <w:wordWrap w:val="off"/>
        <w:spacing w:lineRule="exact" w:line="396"/>
        <w:jc w:val="left"/>
        <w:outlineLvl w:val="1"/>
      </w:pPr>
      <w:r>
        <w:rPr>
          <w:rFonts w:ascii="宋体" w:hAnsi="宋体" w:cs="宋体" w:eastAsia="宋体"/>
          <w:b w:val="true"/>
          <w:color w:val="000000"/>
          <w:sz w:val="22"/>
        </w:rPr>
        <w:t>一、项目基本情况</w:t>
      </w:r>
    </w:p>
    <w:p>
      <w:pPr>
        <w:wordWrap w:val="off"/>
        <w:spacing w:lineRule="exact" w:line="378"/>
        <w:ind w:firstLineChars="200"/>
        <w:jc w:val="left"/>
      </w:pPr>
      <w:r>
        <w:rPr>
          <w:rFonts w:ascii="宋体" w:hAnsi="宋体" w:cs="宋体" w:eastAsia="宋体"/>
          <w:color w:val="000000"/>
          <w:sz w:val="21"/>
        </w:rPr>
        <w:t>项目编号：</w:t>
      </w:r>
      <w:r>
        <w:rPr>
          <w:rFonts w:ascii="宋体" w:hAnsi="宋体" w:cs="宋体" w:eastAsia="宋体"/>
          <w:color w:val="000000"/>
          <w:sz w:val="21"/>
        </w:rPr>
        <w:t>20250083号</w:t>
      </w:r>
    </w:p>
    <w:p>
      <w:pPr>
        <w:wordWrap w:val="off"/>
        <w:spacing w:before="0" w:after="0" w:lineRule="exact" w:line="378"/>
        <w:ind w:firstLineChars="200"/>
        <w:jc w:val="left"/>
      </w:pPr>
      <w:r>
        <w:rPr>
          <w:rFonts w:ascii="宋体" w:hAnsi="宋体" w:cs="宋体" w:eastAsia="宋体"/>
          <w:color w:val="000000"/>
          <w:sz w:val="21"/>
        </w:rPr>
        <w:t>项目名称：</w:t>
      </w:r>
      <w:r>
        <w:rPr>
          <w:rFonts w:ascii="宋体" w:hAnsi="宋体" w:cs="宋体" w:eastAsia="宋体"/>
          <w:color w:val="000000"/>
          <w:sz w:val="21"/>
        </w:rPr>
        <w:t>信息中心WEB资源发布系统</w:t>
      </w:r>
    </w:p>
    <w:p>
      <w:pPr>
        <w:wordWrap w:val="off"/>
        <w:spacing w:before="0" w:after="0" w:lineRule="exact" w:line="378"/>
        <w:ind w:firstLineChars="200"/>
        <w:jc w:val="left"/>
      </w:pPr>
      <w:r>
        <w:rPr>
          <w:rFonts w:ascii="宋体" w:hAnsi="宋体" w:cs="宋体" w:eastAsia="宋体"/>
          <w:color w:val="000000"/>
          <w:sz w:val="21"/>
        </w:rPr>
        <w:t>采购方式：</w:t>
      </w:r>
      <w:r>
        <w:rPr>
          <w:rFonts w:ascii="宋体" w:hAnsi="宋体" w:cs="宋体" w:eastAsia="宋体"/>
          <w:color w:val="000000"/>
          <w:sz w:val="21"/>
        </w:rPr>
        <w:t>竞争性磋商</w:t>
      </w:r>
    </w:p>
    <w:p>
      <w:pPr>
        <w:wordWrap w:val="off"/>
        <w:spacing w:lineRule="exact" w:line="378"/>
        <w:ind w:firstLineChars="200"/>
        <w:jc w:val="left"/>
      </w:pPr>
      <w:r>
        <w:rPr>
          <w:rFonts w:ascii="宋体" w:hAnsi="宋体" w:cs="宋体" w:eastAsia="宋体"/>
          <w:color w:val="000000"/>
          <w:sz w:val="21"/>
        </w:rPr>
        <w:t/>
      </w:r>
      <w:r>
        <w:rPr>
          <w:rFonts w:ascii="宋体" w:hAnsi="宋体" w:cs="宋体" w:eastAsia="宋体"/>
          <w:color w:val="000000"/>
          <w:sz w:val="21"/>
        </w:rPr>
        <w:t>预算金额：</w:t>
      </w:r>
      <w:r>
        <w:rPr>
          <w:rFonts w:ascii="宋体" w:hAnsi="宋体" w:cs="宋体" w:eastAsia="宋体"/>
          <w:color w:val="000000"/>
          <w:sz w:val="21"/>
        </w:rPr>
        <w:t>35.00</w:t>
      </w:r>
      <w:r>
        <w:rPr>
          <w:rFonts w:ascii="宋体" w:hAnsi="宋体" w:cs="宋体" w:eastAsia="宋体"/>
          <w:color w:val="000000"/>
          <w:sz w:val="21"/>
        </w:rPr>
        <w:t>万元</w:t>
      </w:r>
    </w:p>
    <w:p>
      <w:pPr>
        <w:wordWrap w:val="off"/>
        <w:spacing w:lineRule="exact" w:line="378"/>
        <w:ind w:firstLineChars="200"/>
        <w:jc w:val="left"/>
      </w:pPr>
      <w:r>
        <w:rPr>
          <w:rFonts w:ascii="宋体" w:hAnsi="宋体" w:cs="宋体" w:eastAsia="宋体"/>
          <w:color w:val="000000"/>
          <w:sz w:val="21"/>
        </w:rPr>
        <w:t/>
      </w:r>
      <w:r>
        <w:rPr>
          <w:rFonts w:ascii="宋体" w:hAnsi="宋体" w:cs="宋体" w:eastAsia="宋体"/>
          <w:color w:val="000000"/>
          <w:sz w:val="21"/>
        </w:rPr>
        <w:t>最高限价(总价)：35.00万元，超过最高限价的报价为无效报价</w:t>
      </w:r>
    </w:p>
    <w:p>
      <w:pPr>
        <w:wordWrap w:val="off"/>
        <w:spacing w:lineRule="exact" w:line="378"/>
        <w:ind w:firstLineChars="200"/>
        <w:jc w:val="left"/>
      </w:pPr>
      <w:r>
        <w:rPr>
          <w:rFonts w:ascii="宋体" w:hAnsi="宋体" w:cs="宋体" w:eastAsia="宋体"/>
          <w:color w:val="000000"/>
          <w:sz w:val="21"/>
        </w:rPr>
        <w:t>采购需求：</w:t>
      </w:r>
      <w:r>
        <w:rPr>
          <w:rFonts w:ascii="宋体" w:hAnsi="宋体" w:cs="宋体" w:eastAsia="宋体"/>
          <w:color w:val="000000"/>
          <w:sz w:val="21"/>
        </w:rPr>
        <w:t>该设备用于WBB站点及应用WEB资源发布系统系统的反向代理发布，可以隐藏系统的真实服务器地址，提高系统安全性。同时能够解决IPV6的发布问题</w:t>
      </w:r>
      <w:r>
        <w:rPr>
          <w:rFonts w:ascii="宋体" w:hAnsi="宋体" w:cs="宋体" w:eastAsia="宋体"/>
          <w:color w:val="000000"/>
          <w:sz w:val="21"/>
        </w:rPr>
        <w:t>具体要求详见</w:t>
      </w:r>
      <w:r>
        <w:rPr>
          <w:rFonts w:ascii="宋体" w:hAnsi="宋体" w:cs="宋体" w:eastAsia="宋体"/>
          <w:color w:val="000000"/>
          <w:sz w:val="21"/>
        </w:rPr>
        <w:t>采购</w:t>
      </w:r>
      <w:r>
        <w:rPr>
          <w:rFonts w:ascii="宋体" w:hAnsi="宋体" w:cs="宋体" w:eastAsia="宋体"/>
          <w:color w:val="000000"/>
          <w:sz w:val="21"/>
        </w:rPr>
        <w:t>文件。</w:t>
      </w:r>
    </w:p>
    <w:p>
      <w:pPr>
        <w:wordWrap w:val="off"/>
        <w:spacing w:lineRule="exact" w:line="378"/>
        <w:ind w:firstLineChars="200"/>
        <w:jc w:val="left"/>
      </w:pPr>
      <w:r>
        <w:rPr>
          <w:rFonts w:ascii="宋体" w:hAnsi="宋体" w:cs="宋体" w:eastAsia="宋体"/>
          <w:color w:val="000000"/>
          <w:sz w:val="21"/>
        </w:rPr>
        <w:t>合同履行期限：</w:t>
      </w:r>
      <w:r>
        <w:rPr>
          <w:rFonts w:ascii="宋体" w:hAnsi="宋体" w:cs="宋体" w:eastAsia="宋体"/>
          <w:color w:val="000000"/>
          <w:sz w:val="21"/>
        </w:rPr>
        <w:t>合同签订后30天内到货（具体时间以甲方通知为准）并按甲方要求安装调试完毕。</w:t>
      </w:r>
    </w:p>
    <w:p>
      <w:pPr>
        <w:wordWrap w:val="off"/>
        <w:spacing w:lineRule="exact" w:line="378"/>
        <w:ind w:firstLineChars="200"/>
        <w:jc w:val="left"/>
      </w:pPr>
      <w:r>
        <w:rPr>
          <w:rFonts w:ascii="宋体" w:hAnsi="宋体" w:cs="宋体" w:eastAsia="宋体"/>
          <w:color w:val="000000"/>
          <w:sz w:val="21"/>
        </w:rPr>
        <w:t>本项目</w:t>
      </w:r>
      <w:r>
        <w:rPr>
          <w:rFonts w:ascii="宋体" w:hAnsi="宋体" w:cs="宋体" w:eastAsia="宋体"/>
          <w:color w:val="000000"/>
          <w:sz w:val="21"/>
        </w:rPr>
        <w:t>不接受</w:t>
      </w:r>
      <w:r>
        <w:rPr>
          <w:rFonts w:ascii="宋体" w:hAnsi="宋体" w:cs="宋体" w:eastAsia="宋体"/>
          <w:color w:val="000000"/>
          <w:sz w:val="21"/>
        </w:rPr>
        <w:t>联合体投标。</w:t>
      </w:r>
    </w:p>
    <w:p>
      <w:pPr>
        <w:wordWrap w:val="off"/>
        <w:spacing w:lineRule="exact" w:line="396"/>
        <w:jc w:val="left"/>
        <w:outlineLvl w:val="1"/>
      </w:pPr>
      <w:r>
        <w:rPr>
          <w:rFonts w:ascii="宋体" w:hAnsi="宋体" w:cs="宋体" w:eastAsia="宋体"/>
          <w:b w:val="true"/>
          <w:color w:val="000000"/>
          <w:sz w:val="22"/>
        </w:rPr>
        <w:t>二、申请人的资格要求</w:t>
      </w:r>
    </w:p>
    <w:p>
      <w:pPr>
        <w:wordWrap w:val="off"/>
        <w:spacing w:lineRule="exact" w:line="378"/>
        <w:ind w:firstLineChars="200"/>
        <w:jc w:val="left"/>
      </w:pPr>
      <w:r>
        <w:rPr>
          <w:rFonts w:ascii="宋体" w:hAnsi="宋体" w:cs="宋体" w:eastAsia="宋体"/>
          <w:color w:val="000000"/>
          <w:sz w:val="21"/>
        </w:rPr>
        <w:t>1.满足《中华人民共和国政府采购法》第二十二条规定；</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1.1 具有独立承担民事责任的能力（提供法人或者其他组织的营业执照等有效证明文件复印件）</w:t>
      </w:r>
      <w:r>
        <w:rPr>
          <w:rFonts w:ascii="宋体" w:hAnsi="宋体" w:cs="宋体" w:eastAsia="宋体"/>
          <w:color w:val="000000"/>
          <w:sz w:val="21"/>
        </w:rPr>
        <w:t>；</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1.2 法人代表授权书（原件）及法定代表人、授权代表身份证复印件（如果是法定代表人直接参与报价的可以不提供授权书）</w:t>
      </w:r>
      <w:r>
        <w:rPr>
          <w:rFonts w:ascii="宋体" w:hAnsi="宋体" w:cs="宋体" w:eastAsia="宋体"/>
          <w:color w:val="000000"/>
          <w:sz w:val="21"/>
        </w:rPr>
        <w:t>；</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1.3 具有良好的商业信誉和健全的财务会计制度，提供距投标响应文件提交截止时间六个月内任意一月份的财务状况报告（至少包括资产负债表和利润表）（法人或者其他组织成立未满三个月的可以不提供）或银行出具的资信证书（复印件）（报价前六个月内），或其经审计的</w:t>
      </w:r>
      <w:r>
        <w:rPr>
          <w:rFonts w:ascii="宋体" w:hAnsi="宋体" w:cs="宋体" w:eastAsia="宋体"/>
          <w:color w:val="000000"/>
          <w:sz w:val="21"/>
          <w:u w:val="single"/>
        </w:rPr>
        <w:t>2024</w:t>
      </w:r>
      <w:r>
        <w:rPr>
          <w:rFonts w:ascii="宋体" w:hAnsi="宋体" w:cs="宋体" w:eastAsia="宋体"/>
          <w:color w:val="000000"/>
          <w:sz w:val="21"/>
        </w:rPr>
        <w:t>年度审计报告复印件，加盖公章</w:t>
      </w:r>
      <w:r>
        <w:rPr>
          <w:rFonts w:ascii="宋体" w:hAnsi="宋体" w:cs="宋体" w:eastAsia="宋体"/>
          <w:color w:val="000000"/>
          <w:sz w:val="21"/>
        </w:rPr>
        <w:t>；</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1.4 具有履行合同所必需的设备和专业技术能力（根据项目需求提供履行合同所必需的设备和专业技术能力的证明材料或加盖公章的承诺函原件）</w:t>
      </w:r>
      <w:r>
        <w:rPr>
          <w:rFonts w:ascii="宋体" w:hAnsi="宋体" w:cs="宋体" w:eastAsia="宋体"/>
          <w:color w:val="000000"/>
          <w:sz w:val="21"/>
        </w:rPr>
        <w:t>；</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1.5 有依法缴纳税收和社会保障资金的良好记录（提供参加本次采购活动前半年内至少一个月依法缴纳税收和社会保障资金的有效凭据复印件加盖公章，依法免税或不需要缴纳社会保障资金的供应商，应提供相应证明文件）</w:t>
      </w:r>
      <w:r>
        <w:rPr>
          <w:rFonts w:ascii="宋体" w:hAnsi="宋体" w:cs="宋体" w:eastAsia="宋体"/>
          <w:color w:val="000000"/>
          <w:sz w:val="21"/>
        </w:rPr>
        <w:t>；</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1.6 自</w:t>
      </w:r>
      <w:r>
        <w:rPr>
          <w:rFonts w:ascii="宋体" w:hAnsi="宋体" w:cs="宋体" w:eastAsia="宋体"/>
          <w:color w:val="000000"/>
          <w:sz w:val="21"/>
          <w:u w:val="single"/>
        </w:rPr>
        <w:t>2022年01月01日</w:t>
      </w:r>
      <w:r>
        <w:rPr>
          <w:rFonts w:ascii="宋体" w:hAnsi="宋体" w:cs="宋体" w:eastAsia="宋体"/>
          <w:color w:val="000000"/>
          <w:sz w:val="21"/>
        </w:rPr>
        <w:t>以来，在经营活动中没有重大违法记录（提供承诺书原件，格式自拟，重大违法记录是指供应商因违法经营受到刑事处罚或责令停产停业、吊销许可证或者执照、较大数额罚款等行政处罚）</w:t>
      </w:r>
      <w:r>
        <w:rPr>
          <w:rFonts w:ascii="宋体" w:hAnsi="宋体" w:cs="宋体" w:eastAsia="宋体"/>
          <w:color w:val="000000"/>
          <w:sz w:val="21"/>
        </w:rPr>
        <w:t>；</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1.7 法律、行政法规规定的其他条件。</w:t>
      </w:r>
    </w:p>
    <w:p>
      <w:pPr>
        <w:wordWrap w:val="off"/>
        <w:spacing w:lineRule="exact" w:line="378"/>
        <w:ind w:firstLineChars="200"/>
        <w:jc w:val="left"/>
      </w:pPr>
      <w:r>
        <w:rPr>
          <w:rFonts w:ascii="宋体" w:hAnsi="宋体" w:cs="宋体" w:eastAsia="宋体"/>
          <w:color w:val="000000"/>
          <w:sz w:val="21"/>
        </w:rPr>
        <w:t>2.落实政府采购政策需满足的资格要求：</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2.1 本项目专门面向中小企业采购，</w:t>
      </w:r>
      <w:r>
        <w:rPr>
          <w:rFonts w:ascii="宋体" w:hAnsi="宋体" w:cs="宋体" w:eastAsia="宋体"/>
          <w:color w:val="000000"/>
          <w:sz w:val="21"/>
        </w:rPr>
        <w:t>所属行业为信息和软件行业，响应单位应为中小微企业或监狱企业或残疾人福利性单位</w:t>
      </w:r>
      <w:r>
        <w:rPr>
          <w:rFonts w:ascii="宋体" w:hAnsi="宋体" w:cs="宋体" w:eastAsia="宋体"/>
          <w:color w:val="000000"/>
          <w:sz w:val="21"/>
        </w:rPr>
        <w:t>。</w:t>
      </w:r>
    </w:p>
    <w:p>
      <w:pPr>
        <w:wordWrap w:val="off"/>
        <w:spacing w:lineRule="exact" w:line="378"/>
        <w:ind w:firstLineChars="200"/>
        <w:jc w:val="left"/>
      </w:pPr>
      <w:r>
        <w:rPr>
          <w:rFonts w:ascii="宋体" w:hAnsi="宋体" w:cs="宋体" w:eastAsia="宋体"/>
          <w:color w:val="000000"/>
          <w:sz w:val="21"/>
        </w:rPr>
        <w:t>3.本项目的特定资格要求：</w:t>
      </w:r>
    </w:p>
    <w:p>
      <w:pPr>
        <w:wordWrap w:val="off"/>
        <w:spacing w:lineRule="exact" w:line="378"/>
        <w:ind w:firstLineChars="300"/>
        <w:jc w:val="left"/>
      </w:pPr>
      <w:r>
        <w:rPr>
          <w:rFonts w:ascii="宋体" w:hAnsi="宋体" w:cs="宋体" w:eastAsia="宋体"/>
          <w:color w:val="000000"/>
          <w:sz w:val="21"/>
        </w:rPr>
        <w:t>无。</w:t>
      </w:r>
    </w:p>
    <w:p>
      <w:pPr>
        <w:wordWrap w:val="off"/>
        <w:spacing w:lineRule="exact" w:line="378"/>
        <w:ind w:firstLineChars="200"/>
        <w:jc w:val="left"/>
      </w:pPr>
      <w:r>
        <w:rPr>
          <w:rFonts w:ascii="宋体" w:hAnsi="宋体" w:cs="宋体" w:eastAsia="宋体"/>
          <w:color w:val="000000"/>
          <w:sz w:val="21"/>
        </w:rPr>
        <w:t>4.拒绝下述供应商参加本次采购活动:</w:t>
      </w:r>
    </w:p>
    <w:p>
      <w:pPr>
        <w:wordWrap w:val="off"/>
        <w:spacing w:before="0" w:after="0" w:lineRule="exact" w:line="378"/>
        <w:ind w:firstLineChars="200"/>
        <w:jc w:val="left"/>
      </w:pPr>
      <w:r>
        <w:rPr>
          <w:rFonts w:ascii="宋体" w:hAnsi="宋体" w:cs="宋体" w:eastAsia="宋体"/>
          <w:color w:val="000000"/>
          <w:sz w:val="21"/>
        </w:rPr>
        <w:t>4.1 供应商单位负责人为同一人或者存在直接控股、管理关系的不同供应商，不得参加同一合同项下的政府采购活动。</w:t>
      </w:r>
    </w:p>
    <w:p>
      <w:pPr>
        <w:wordWrap w:val="off"/>
        <w:spacing w:before="0" w:after="0" w:lineRule="exact" w:line="378"/>
        <w:ind w:firstLineChars="200"/>
        <w:jc w:val="left"/>
      </w:pPr>
      <w:r>
        <w:rPr>
          <w:rFonts w:ascii="宋体" w:hAnsi="宋体" w:cs="宋体" w:eastAsia="宋体"/>
          <w:color w:val="000000"/>
          <w:sz w:val="21"/>
        </w:rPr>
        <w:t>4.2 凡为采购项目提供整体设计、规范编制或者项目管理、监理、检测等服务的供应商，不得再参加本项目的采购活动。</w:t>
      </w:r>
    </w:p>
    <w:p>
      <w:pPr>
        <w:wordWrap w:val="off"/>
        <w:spacing w:before="0" w:after="0" w:lineRule="exact" w:line="378"/>
        <w:ind w:firstLineChars="200"/>
        <w:jc w:val="left"/>
      </w:pPr>
      <w:r>
        <w:rPr>
          <w:rFonts w:ascii="宋体" w:hAnsi="宋体" w:cs="宋体" w:eastAsia="宋体"/>
          <w:color w:val="000000"/>
          <w:sz w:val="21"/>
        </w:rPr>
        <w:t>4.3 拒绝列入失信被执行人、重大税收违法案件当事人名单、政府采购严重违法失信行为记录名单的供应商参与政府采购活动。采购人在项目评审时通过“信用中国”网站(www.creditchina.gov.cn)、中国政府采购网(www.ccgp.gov.cn)、“信用江苏”网站（credit.jiangsu.gov.cn）等渠道查询供应商在采购公告发布之日前的信用记录并保存。</w:t>
      </w:r>
    </w:p>
    <w:p>
      <w:pPr>
        <w:wordWrap w:val="off"/>
        <w:spacing w:lineRule="exact" w:line="396"/>
        <w:jc w:val="left"/>
        <w:outlineLvl w:val="1"/>
      </w:pPr>
      <w:r>
        <w:rPr>
          <w:rFonts w:ascii="宋体" w:hAnsi="宋体" w:cs="宋体" w:eastAsia="宋体"/>
          <w:b w:val="true"/>
          <w:color w:val="000000"/>
          <w:sz w:val="22"/>
        </w:rPr>
        <w:t>三、获取采购文件</w:t>
      </w:r>
    </w:p>
    <w:p>
      <w:pPr>
        <w:wordWrap w:val="off"/>
        <w:spacing w:lineRule="exact" w:line="378"/>
        <w:ind w:firstLineChars="200"/>
        <w:jc w:val="left"/>
      </w:pPr>
      <w:r>
        <w:rPr>
          <w:rFonts w:ascii="宋体" w:hAnsi="宋体" w:cs="宋体" w:eastAsia="宋体"/>
          <w:color w:val="000000"/>
          <w:sz w:val="21"/>
        </w:rPr>
        <w:t>时间：自招标文件发布之日起至</w:t>
      </w:r>
      <w:r>
        <w:rPr>
          <w:rFonts w:ascii="宋体" w:hAnsi="宋体" w:cs="宋体" w:eastAsia="宋体"/>
          <w:color w:val="000000"/>
          <w:sz w:val="21"/>
          <w:u w:val="single"/>
        </w:rPr>
        <w:t>2025年12月04日</w:t>
      </w:r>
      <w:r>
        <w:rPr>
          <w:rFonts w:ascii="宋体" w:hAnsi="宋体" w:cs="宋体" w:eastAsia="宋体"/>
          <w:color w:val="000000"/>
          <w:sz w:val="21"/>
        </w:rPr>
        <w:t>，</w:t>
      </w:r>
      <w:r>
        <w:rPr>
          <w:rFonts w:ascii="宋体" w:hAnsi="宋体" w:cs="宋体" w:eastAsia="宋体"/>
          <w:color w:val="000000"/>
          <w:sz w:val="21"/>
        </w:rPr>
        <w:t>全天</w:t>
      </w:r>
      <w:r>
        <w:rPr>
          <w:rFonts w:ascii="宋体" w:hAnsi="宋体" w:cs="宋体" w:eastAsia="宋体"/>
          <w:color w:val="000000"/>
          <w:sz w:val="21"/>
        </w:rPr>
        <w:t>（北京时间）</w:t>
      </w:r>
    </w:p>
    <w:p>
      <w:pPr>
        <w:wordWrap w:val="off"/>
        <w:spacing w:before="0" w:after="0" w:lineRule="exact" w:line="378"/>
        <w:ind w:firstLineChars="200"/>
        <w:jc w:val="left"/>
      </w:pPr>
      <w:r>
        <w:rPr>
          <w:rFonts w:ascii="宋体" w:hAnsi="宋体" w:cs="宋体" w:eastAsia="宋体"/>
          <w:color w:val="000000"/>
          <w:sz w:val="21"/>
        </w:rPr>
        <w:t>地点：</w:t>
      </w:r>
      <w:r>
        <w:rPr>
          <w:rFonts w:ascii="宋体" w:hAnsi="宋体" w:cs="宋体" w:eastAsia="宋体"/>
          <w:color w:val="000000"/>
          <w:sz w:val="21"/>
        </w:rPr>
        <w:t>苏州科技大学官网招标公告栏目</w:t>
      </w:r>
    </w:p>
    <w:p>
      <w:pPr>
        <w:wordWrap w:val="off"/>
        <w:spacing w:before="0" w:after="0" w:lineRule="exact" w:line="378"/>
        <w:ind w:firstLineChars="200"/>
        <w:jc w:val="left"/>
      </w:pPr>
      <w:r>
        <w:rPr>
          <w:rFonts w:ascii="宋体" w:hAnsi="宋体" w:cs="宋体" w:eastAsia="宋体"/>
          <w:color w:val="000000"/>
          <w:sz w:val="21"/>
        </w:rPr>
        <w:t>方式：</w:t>
      </w:r>
      <w:r>
        <w:rPr>
          <w:rFonts w:ascii="宋体" w:hAnsi="宋体" w:cs="宋体" w:eastAsia="宋体"/>
          <w:color w:val="000000"/>
          <w:sz w:val="21"/>
        </w:rPr>
        <w:t>网上下载</w:t>
      </w:r>
    </w:p>
    <w:p>
      <w:pPr>
        <w:wordWrap w:val="off"/>
        <w:spacing w:before="0" w:after="0" w:lineRule="exact" w:line="378"/>
        <w:ind w:firstLineChars="200"/>
        <w:jc w:val="left"/>
      </w:pPr>
      <w:r>
        <w:rPr>
          <w:rFonts w:ascii="宋体" w:hAnsi="宋体" w:cs="宋体" w:eastAsia="宋体"/>
          <w:color w:val="000000"/>
          <w:sz w:val="21"/>
        </w:rPr>
        <w:t>售价：</w:t>
      </w:r>
      <w:r>
        <w:rPr>
          <w:rFonts w:ascii="宋体" w:hAnsi="宋体" w:cs="宋体" w:eastAsia="宋体"/>
          <w:color w:val="000000"/>
          <w:sz w:val="21"/>
        </w:rPr>
        <w:t>500.00</w:t>
      </w:r>
      <w:r>
        <w:rPr>
          <w:rFonts w:ascii="宋体" w:hAnsi="宋体" w:cs="宋体" w:eastAsia="宋体"/>
          <w:color w:val="000000"/>
          <w:sz w:val="21"/>
        </w:rPr>
        <w:t>元,</w:t>
      </w:r>
      <w:r>
        <w:rPr>
          <w:rFonts w:ascii="宋体" w:hAnsi="宋体" w:cs="宋体" w:eastAsia="宋体"/>
          <w:color w:val="000000"/>
          <w:sz w:val="21"/>
        </w:rPr>
        <w:t>线上缴费后获取</w:t>
      </w:r>
    </w:p>
    <w:p>
      <w:pPr>
        <w:wordWrap w:val="off"/>
        <w:spacing w:before="0" w:after="0" w:lineRule="exact" w:line="378"/>
        <w:ind w:firstLineChars="200"/>
        <w:jc w:val="left"/>
      </w:pPr>
      <w:r>
        <w:rPr>
          <w:rFonts w:ascii="宋体" w:hAnsi="宋体" w:cs="宋体" w:eastAsia="宋体"/>
          <w:color w:val="000000"/>
          <w:sz w:val="21"/>
        </w:rPr>
        <w:t>报名方式：</w:t>
      </w:r>
      <w:r>
        <w:rPr>
          <w:rFonts w:ascii="宋体" w:hAnsi="宋体" w:cs="宋体" w:eastAsia="宋体"/>
          <w:color w:val="000000"/>
          <w:sz w:val="21"/>
        </w:rPr>
        <w:t>网上报名</w:t>
      </w:r>
    </w:p>
    <w:p>
      <w:pPr>
        <w:wordWrap w:val="off"/>
        <w:spacing w:before="0" w:after="0" w:lineRule="exact" w:line="378"/>
        <w:ind w:firstLineChars="200"/>
        <w:jc w:val="left"/>
      </w:pPr>
      <w:r>
        <w:rPr>
          <w:rFonts w:ascii="宋体" w:hAnsi="宋体" w:cs="宋体" w:eastAsia="宋体"/>
          <w:color w:val="000000"/>
          <w:sz w:val="21"/>
        </w:rPr>
        <w:t>报名截止时间：</w:t>
      </w:r>
      <w:r>
        <w:rPr>
          <w:rFonts w:ascii="宋体" w:hAnsi="宋体" w:cs="宋体" w:eastAsia="宋体"/>
          <w:color w:val="000000"/>
          <w:sz w:val="21"/>
          <w:u w:val="single"/>
        </w:rPr>
        <w:t>2025年12月04日 16时00分</w:t>
      </w:r>
    </w:p>
    <w:p>
      <w:pPr>
        <w:wordWrap w:val="off"/>
        <w:spacing w:lineRule="exact" w:line="396"/>
        <w:jc w:val="left"/>
        <w:outlineLvl w:val="1"/>
      </w:pPr>
      <w:r>
        <w:rPr>
          <w:rFonts w:ascii="宋体" w:hAnsi="宋体" w:cs="宋体" w:eastAsia="宋体"/>
          <w:b w:val="true"/>
          <w:color w:val="000000"/>
          <w:sz w:val="22"/>
        </w:rPr>
        <w:t>四、响应文件提交</w:t>
      </w:r>
    </w:p>
    <w:p>
      <w:pPr>
        <w:wordWrap w:val="off"/>
        <w:spacing w:lineRule="exact" w:line="378"/>
        <w:ind w:firstLineChars="200"/>
        <w:jc w:val="left"/>
      </w:pPr>
      <w:r>
        <w:rPr>
          <w:rFonts w:ascii="宋体" w:hAnsi="宋体" w:cs="宋体" w:eastAsia="宋体"/>
          <w:color w:val="000000"/>
          <w:sz w:val="21"/>
        </w:rPr>
        <w:t>开始接收时间：</w:t>
      </w:r>
      <w:r>
        <w:rPr>
          <w:rFonts w:ascii="宋体" w:hAnsi="宋体" w:cs="宋体" w:eastAsia="宋体"/>
          <w:color w:val="000000"/>
          <w:sz w:val="21"/>
        </w:rPr>
        <w:t>2025年12月09日 13时30分</w:t>
      </w:r>
      <w:r>
        <w:rPr>
          <w:rFonts w:ascii="宋体" w:hAnsi="宋体" w:cs="宋体" w:eastAsia="宋体"/>
          <w:color w:val="000000"/>
          <w:sz w:val="21"/>
        </w:rPr>
        <w:t>（北京时间）</w:t>
      </w:r>
    </w:p>
    <w:p>
      <w:pPr>
        <w:wordWrap w:val="off"/>
        <w:spacing w:before="0" w:after="0" w:lineRule="exact" w:line="378"/>
        <w:ind w:firstLineChars="200"/>
        <w:jc w:val="left"/>
      </w:pPr>
      <w:r>
        <w:rPr>
          <w:rFonts w:ascii="宋体" w:hAnsi="宋体" w:cs="宋体" w:eastAsia="宋体"/>
          <w:color w:val="000000"/>
          <w:sz w:val="21"/>
        </w:rPr>
        <w:t>接收截止时间：</w:t>
      </w:r>
      <w:r>
        <w:rPr>
          <w:rFonts w:ascii="宋体" w:hAnsi="宋体" w:cs="宋体" w:eastAsia="宋体"/>
          <w:color w:val="000000"/>
          <w:sz w:val="21"/>
        </w:rPr>
        <w:t>2025年12月09日 14时30分</w:t>
      </w:r>
      <w:r>
        <w:rPr>
          <w:rFonts w:ascii="宋体" w:hAnsi="宋体" w:cs="宋体" w:eastAsia="宋体"/>
          <w:color w:val="000000"/>
          <w:sz w:val="21"/>
        </w:rPr>
        <w:t>（北京时间）</w:t>
      </w:r>
    </w:p>
    <w:p>
      <w:pPr>
        <w:wordWrap w:val="off"/>
        <w:spacing w:lineRule="exact" w:line="396"/>
        <w:jc w:val="left"/>
        <w:outlineLvl w:val="1"/>
      </w:pPr>
      <w:r>
        <w:rPr>
          <w:rFonts w:ascii="宋体" w:hAnsi="宋体" w:cs="宋体" w:eastAsia="宋体"/>
          <w:b w:val="true"/>
          <w:color w:val="000000"/>
          <w:sz w:val="22"/>
        </w:rPr>
        <w:t>五、开启</w:t>
      </w:r>
    </w:p>
    <w:p>
      <w:pPr>
        <w:wordWrap w:val="off"/>
        <w:spacing w:lineRule="exact" w:line="378"/>
        <w:ind w:firstLineChars="200"/>
        <w:jc w:val="left"/>
      </w:pPr>
      <w:r>
        <w:rPr>
          <w:rFonts w:ascii="宋体" w:hAnsi="宋体" w:cs="宋体" w:eastAsia="宋体"/>
          <w:color w:val="000000"/>
          <w:sz w:val="21"/>
        </w:rPr>
        <w:t>时间：</w:t>
      </w:r>
      <w:r>
        <w:rPr>
          <w:rFonts w:ascii="宋体" w:hAnsi="宋体" w:cs="宋体" w:eastAsia="宋体"/>
          <w:color w:val="000000"/>
          <w:sz w:val="21"/>
        </w:rPr>
        <w:t>2025年12月09日 14时30分</w:t>
      </w:r>
      <w:r>
        <w:rPr>
          <w:rFonts w:ascii="宋体" w:hAnsi="宋体" w:cs="宋体" w:eastAsia="宋体"/>
          <w:color w:val="000000"/>
          <w:sz w:val="21"/>
        </w:rPr>
        <w:t>（北京时间）</w:t>
      </w:r>
    </w:p>
    <w:p>
      <w:pPr>
        <w:wordWrap w:val="off"/>
        <w:spacing w:before="0" w:after="0" w:lineRule="exact" w:line="378"/>
        <w:ind w:firstLineChars="200"/>
        <w:jc w:val="left"/>
      </w:pPr>
      <w:r>
        <w:rPr>
          <w:rFonts w:ascii="宋体" w:hAnsi="宋体" w:cs="宋体" w:eastAsia="宋体"/>
          <w:color w:val="000000"/>
          <w:sz w:val="21"/>
        </w:rPr>
        <w:t>地点：</w:t>
      </w:r>
      <w:r>
        <w:rPr>
          <w:rFonts w:ascii="宋体" w:hAnsi="宋体" w:cs="宋体" w:eastAsia="宋体"/>
          <w:color w:val="000000"/>
          <w:sz w:val="21"/>
        </w:rPr>
        <w:t>高新区学府路99号苏州科技大学行政楼3308开标室</w:t>
      </w:r>
    </w:p>
    <w:p>
      <w:pPr>
        <w:wordWrap w:val="off"/>
        <w:spacing w:lineRule="exact" w:line="396"/>
        <w:jc w:val="left"/>
        <w:outlineLvl w:val="1"/>
      </w:pPr>
      <w:r>
        <w:rPr>
          <w:rFonts w:ascii="宋体" w:hAnsi="宋体" w:cs="宋体" w:eastAsia="宋体"/>
          <w:b w:val="true"/>
          <w:color w:val="000000"/>
          <w:sz w:val="22"/>
        </w:rPr>
        <w:t>六、公告期限</w:t>
      </w:r>
    </w:p>
    <w:p>
      <w:pPr>
        <w:wordWrap w:val="off"/>
        <w:spacing w:lineRule="exact" w:line="378"/>
        <w:ind w:firstLineChars="200"/>
        <w:jc w:val="left"/>
      </w:pPr>
      <w:r>
        <w:rPr>
          <w:rFonts w:ascii="宋体" w:hAnsi="宋体" w:cs="宋体" w:eastAsia="宋体"/>
          <w:color w:val="000000"/>
          <w:sz w:val="21"/>
        </w:rPr>
        <w:t>自本公告发布之日起</w:t>
      </w:r>
      <w:r>
        <w:rPr>
          <w:rFonts w:ascii="宋体" w:hAnsi="宋体" w:cs="宋体" w:eastAsia="宋体"/>
          <w:color w:val="000000"/>
          <w:sz w:val="21"/>
        </w:rPr>
        <w:t>3</w:t>
      </w:r>
      <w:r>
        <w:rPr>
          <w:rFonts w:ascii="宋体" w:hAnsi="宋体" w:cs="宋体" w:eastAsia="宋体"/>
          <w:color w:val="000000"/>
          <w:sz w:val="21"/>
        </w:rPr>
        <w:t>个工作日。</w:t>
      </w:r>
    </w:p>
    <w:p>
      <w:pPr>
        <w:wordWrap w:val="off"/>
        <w:spacing w:lineRule="exact" w:line="396"/>
        <w:jc w:val="left"/>
        <w:outlineLvl w:val="1"/>
      </w:pPr>
      <w:r>
        <w:rPr>
          <w:rFonts w:ascii="宋体" w:hAnsi="宋体" w:cs="宋体" w:eastAsia="宋体"/>
          <w:b w:val="true"/>
          <w:color w:val="000000"/>
          <w:sz w:val="22"/>
        </w:rPr>
        <w:t>七、其他补充事宜</w:t>
      </w:r>
    </w:p>
    <w:p>
      <w:pPr>
        <w:wordWrap w:val="off"/>
        <w:spacing w:lineRule="exact" w:line="378"/>
        <w:ind w:firstLineChars="200"/>
        <w:jc w:val="left"/>
      </w:pPr>
      <w:r>
        <w:rPr>
          <w:rFonts w:ascii="宋体" w:hAnsi="宋体" w:cs="宋体" w:eastAsia="宋体"/>
          <w:color w:val="000000"/>
          <w:sz w:val="21"/>
        </w:rPr>
        <w:t>1.本次采购的有关信息在以下网站上发布：苏州科技大学官网招标公告栏目；</w:t>
      </w:r>
    </w:p>
    <w:p>
      <w:pPr>
        <w:wordWrap w:val="off"/>
        <w:spacing w:before="0" w:after="0" w:lineRule="exact" w:line="378"/>
        <w:ind w:firstLineChars="200"/>
        <w:jc w:val="left"/>
      </w:pPr>
      <w:r>
        <w:rPr>
          <w:rFonts w:ascii="宋体" w:hAnsi="宋体" w:cs="宋体" w:eastAsia="宋体"/>
          <w:color w:val="000000"/>
          <w:sz w:val="21"/>
        </w:rPr>
        <w:t>2.有关该采购项目的澄清、修正及中标等信息亦在以上网站发布，请随时关注。</w:t>
      </w:r>
    </w:p>
    <w:p>
      <w:pPr>
        <w:wordWrap w:val="off"/>
        <w:spacing w:before="0" w:after="0" w:lineRule="exact" w:line="378"/>
        <w:ind w:firstLineChars="200"/>
        <w:jc w:val="left"/>
      </w:pPr>
      <w:r>
        <w:rPr>
          <w:rFonts w:ascii="宋体" w:hAnsi="宋体" w:cs="宋体" w:eastAsia="宋体"/>
          <w:color w:val="000000"/>
          <w:sz w:val="21"/>
        </w:rPr>
        <w:t>3.苏州科技大学采购监督电话：0512-69379061。</w:t>
      </w:r>
    </w:p>
    <w:p>
      <w:pPr>
        <w:wordWrap w:val="off"/>
        <w:spacing w:before="0" w:after="0" w:lineRule="exact" w:line="378"/>
        <w:ind w:firstLineChars="200"/>
        <w:jc w:val="left"/>
      </w:pPr>
      <w:r>
        <w:rPr>
          <w:rFonts w:ascii="宋体" w:hAnsi="宋体" w:cs="宋体" w:eastAsia="宋体"/>
          <w:color w:val="000000"/>
          <w:sz w:val="21"/>
        </w:rPr>
        <w:t>4.为采购项目提供整体设计、规范编制或者项目管理、监理、检测等服务的供应商，不得参加本采购项目。供应商为采购人、采购代理机构在确定采购需求、编制采购文件过程中提供咨询论证，其提供的咨询论证意见成为采购文件中规定的供应商资格条件、技术服务商务要求、评审因素和标准、政府采购合同等实质性内容条款的，视同为采购项目提供规范编制。</w:t>
      </w:r>
    </w:p>
    <w:p>
      <w:pPr>
        <w:wordWrap w:val="off"/>
        <w:spacing w:before="0" w:after="0" w:lineRule="exact" w:line="378"/>
        <w:ind w:firstLineChars="200"/>
        <w:jc w:val="left"/>
      </w:pPr>
      <w:r>
        <w:rPr>
          <w:rFonts w:ascii="宋体" w:hAnsi="宋体" w:cs="宋体" w:eastAsia="宋体"/>
          <w:color w:val="000000"/>
          <w:sz w:val="21"/>
        </w:rPr>
        <w:t>5.投标当日进校须提前24小时进行报备。报备方式：微信搜索“苏科行”公众号填写访问人信息及被访问人信息。被访问人：沈道远。被访问人联系方式：13913097990，访问单位:资产与实验室管理处，备注：项目编号＋项目名称＋投标单位名称。每单位最高限申报１个车辆３个人员进校。须本人报备，报备审核后生成动态二维码进校时扫描，截图无效。当日进校当日报备无效。</w:t>
      </w:r>
    </w:p>
    <w:p>
      <w:pPr>
        <w:wordWrap w:val="off"/>
        <w:spacing w:before="0" w:after="0" w:lineRule="exact" w:line="378"/>
        <w:jc w:val="left"/>
      </w:pPr>
    </w:p>
    <w:p>
      <w:pPr>
        <w:wordWrap w:val="off"/>
        <w:spacing w:lineRule="exact" w:line="396"/>
        <w:jc w:val="left"/>
        <w:outlineLvl w:val="1"/>
      </w:pPr>
      <w:r>
        <w:rPr>
          <w:rFonts w:ascii="宋体" w:hAnsi="宋体" w:cs="宋体" w:eastAsia="宋体"/>
          <w:b w:val="true"/>
          <w:color w:val="000000"/>
          <w:sz w:val="22"/>
        </w:rPr>
        <w:t>八、对本次招标提出询问，请按以下方式联系。</w:t>
      </w:r>
    </w:p>
    <w:p>
      <w:pPr>
        <w:wordWrap w:val="off"/>
        <w:spacing w:lineRule="exact" w:line="378"/>
        <w:ind w:firstLineChars="200"/>
        <w:jc w:val="left"/>
      </w:pPr>
      <w:r>
        <w:rPr>
          <w:rFonts w:ascii="宋体" w:hAnsi="宋体" w:cs="宋体" w:eastAsia="宋体"/>
          <w:color w:val="000000"/>
          <w:sz w:val="21"/>
        </w:rPr>
        <w:t>1.采购人信息</w:t>
      </w:r>
    </w:p>
    <w:p>
      <w:pPr>
        <w:wordWrap w:val="off"/>
        <w:spacing w:before="0" w:after="0" w:lineRule="exact" w:line="378"/>
        <w:ind w:firstLineChars="250"/>
        <w:jc w:val="left"/>
      </w:pPr>
      <w:r>
        <w:rPr>
          <w:rFonts w:ascii="宋体" w:hAnsi="宋体" w:cs="宋体" w:eastAsia="宋体"/>
          <w:color w:val="000000"/>
          <w:sz w:val="21"/>
        </w:rPr>
        <w:t>名 称：</w:t>
      </w:r>
      <w:r>
        <w:rPr>
          <w:rFonts w:ascii="宋体" w:hAnsi="宋体" w:cs="宋体" w:eastAsia="宋体"/>
          <w:color w:val="000000"/>
          <w:sz w:val="21"/>
        </w:rPr>
        <w:t>苏州科技大学</w:t>
      </w:r>
    </w:p>
    <w:p>
      <w:pPr>
        <w:wordWrap w:val="off"/>
        <w:spacing w:before="0" w:after="0" w:lineRule="exact" w:line="378"/>
        <w:ind w:firstLineChars="250"/>
        <w:jc w:val="left"/>
      </w:pPr>
      <w:r>
        <w:rPr>
          <w:rFonts w:ascii="宋体" w:hAnsi="宋体" w:cs="宋体" w:eastAsia="宋体"/>
          <w:color w:val="000000"/>
          <w:sz w:val="21"/>
        </w:rPr>
        <w:t>地 址：</w:t>
      </w:r>
      <w:r>
        <w:rPr>
          <w:rFonts w:ascii="宋体" w:hAnsi="宋体" w:cs="宋体" w:eastAsia="宋体"/>
          <w:color w:val="000000"/>
          <w:sz w:val="21"/>
        </w:rPr>
        <w:t>江苏省苏州市虎丘区学府路99号</w:t>
      </w:r>
    </w:p>
    <w:p>
      <w:pPr>
        <w:wordWrap w:val="off"/>
        <w:spacing w:before="0" w:after="0" w:lineRule="exact" w:line="378"/>
        <w:ind w:firstLineChars="250"/>
        <w:jc w:val="left"/>
      </w:pPr>
      <w:r>
        <w:rPr>
          <w:rFonts w:ascii="宋体" w:hAnsi="宋体" w:cs="宋体" w:eastAsia="宋体"/>
          <w:color w:val="000000"/>
          <w:sz w:val="21"/>
        </w:rPr>
        <w:t>联系方式：</w:t>
      </w:r>
      <w:r>
        <w:rPr>
          <w:rFonts w:ascii="宋体" w:hAnsi="宋体" w:cs="宋体" w:eastAsia="宋体"/>
          <w:color w:val="000000"/>
          <w:sz w:val="21"/>
        </w:rPr>
        <w:t>王老师 0512-69379123</w:t>
      </w:r>
    </w:p>
    <w:p>
      <w:pPr>
        <w:wordWrap w:val="off"/>
        <w:spacing w:lineRule="exact" w:line="378"/>
        <w:ind w:firstLineChars="200"/>
        <w:jc w:val="left"/>
      </w:pPr>
      <w:r>
        <w:rPr>
          <w:rFonts w:ascii="宋体" w:hAnsi="宋体" w:cs="宋体" w:eastAsia="宋体"/>
          <w:color w:val="000000"/>
          <w:sz w:val="21"/>
        </w:rPr>
        <w:t>2.项目联系方式</w:t>
      </w:r>
    </w:p>
    <w:p>
      <w:pPr>
        <w:wordWrap w:val="off"/>
        <w:spacing w:before="0" w:after="0" w:lineRule="exact" w:line="378"/>
        <w:ind w:firstLineChars="250"/>
        <w:jc w:val="left"/>
      </w:pPr>
      <w:r>
        <w:rPr>
          <w:rFonts w:ascii="宋体" w:hAnsi="宋体" w:cs="宋体" w:eastAsia="宋体"/>
          <w:color w:val="000000"/>
          <w:sz w:val="21"/>
        </w:rPr>
        <w:t xml:space="preserve">项目联系人： </w:t>
      </w:r>
      <w:r>
        <w:rPr>
          <w:rFonts w:ascii="宋体" w:hAnsi="宋体" w:cs="宋体" w:eastAsia="宋体"/>
          <w:color w:val="000000"/>
          <w:sz w:val="21"/>
        </w:rPr>
        <w:t>李老师</w:t>
      </w:r>
    </w:p>
    <w:p>
      <w:pPr>
        <w:wordWrap w:val="off"/>
        <w:spacing w:before="0" w:after="0" w:lineRule="exact" w:line="378"/>
        <w:ind w:firstLineChars="250"/>
        <w:jc w:val="left"/>
      </w:pPr>
      <w:r>
        <w:rPr>
          <w:rFonts w:ascii="宋体" w:hAnsi="宋体" w:cs="宋体" w:eastAsia="宋体"/>
          <w:color w:val="000000"/>
          <w:sz w:val="21"/>
        </w:rPr>
        <w:t>电　　 话：　</w:t>
      </w:r>
      <w:r>
        <w:rPr>
          <w:rFonts w:ascii="宋体" w:hAnsi="宋体" w:cs="宋体" w:eastAsia="宋体"/>
          <w:color w:val="000000"/>
          <w:sz w:val="21"/>
        </w:rPr>
        <w:t>0512-68241339</w:t>
      </w:r>
    </w:p>
    <w:p>
      <w:pPr>
        <w:spacing w:before="0" w:after="0" w:lineRule="exact" w:line="390"/>
      </w:pPr>
    </w:p>
    <w:tbl>
      <w:tblPr>
        <w:tblW w:w="0" w:type="auto"/>
        <w:tblBorders>
          <w:top w:val="single"/>
          <w:left w:val="single"/>
          <w:bottom w:val="single"/>
          <w:right w:val="single"/>
          <w:insideH w:val="single"/>
          <w:insideV w:val="single"/>
        </w:tblBorders>
      </w:tblPr>
      <w:tblPr>
        <w:tblW w:type="dxa" w:w="9585"/>
        <w:jc w:val="center"/>
        <w:tblBorders>
          <w:top w:val="nil"/>
          <w:left w:val="nil"/>
          <w:bottom w:val="nil"/>
          <w:right w:val="nil"/>
        </w:tblBorders>
      </w:tblPr>
      <w:tr>
        <w:trPr>
          <w:trHeight w:val="390" w:hRule="exact"/>
        </w:trPr>
        <w:tc>
          <w:tcPr>
            <w:tcW w:type="dxa" w:w="5115"/>
            <w:tcBorders>
              <w:top w:val="nil"/>
              <w:left w:val="nil"/>
              <w:bottom w:val="nil"/>
              <w:right w:val="nil"/>
            </w:tcBorders>
            <w:tcMar>
              <w:top w:w="20" w:type="dxa"/>
              <w:left w:w="20" w:type="dxa"/>
              <w:bottom w:w="20" w:type="dxa"/>
              <w:right w:w="20" w:type="dxa"/>
            </w:tcMar>
            <w:vAlign w:val="center"/>
          </w:tcPr>
          <w:p/>
        </w:tc>
        <w:tc>
          <w:tcPr>
            <w:tcW w:type="dxa" w:w="2595"/>
            <w:tcBorders>
              <w:top w:val="nil"/>
              <w:left w:val="nil"/>
              <w:bottom w:val="nil"/>
              <w:right w:val="nil"/>
            </w:tcBorders>
            <w:tcMar>
              <w:top w:w="20" w:type="dxa"/>
              <w:left w:w="20" w:type="dxa"/>
              <w:bottom w:w="20" w:type="dxa"/>
              <w:right w:w="20" w:type="dxa"/>
            </w:tcMar>
            <w:vAlign w:val="center"/>
          </w:tcPr>
          <w:p>
            <w:pPr>
              <w:wordWrap w:val="off"/>
            </w:pPr>
          </w:p>
        </w:tc>
        <w:tc>
          <w:tcPr>
            <w:tcW w:type="dxa" w:w="1875"/>
            <w:tcBorders>
              <w:top w:val="nil"/>
              <w:left w:val="nil"/>
              <w:bottom w:val="nil"/>
              <w:right w:val="nil"/>
            </w:tcBorders>
            <w:tcMar>
              <w:top w:w="20" w:type="dxa"/>
              <w:left w:w="20" w:type="dxa"/>
              <w:bottom w:w="20" w:type="dxa"/>
              <w:right w:w="20" w:type="dxa"/>
            </w:tcMar>
            <w:vAlign w:val="center"/>
          </w:tcPr>
          <w:p>
            <w:pPr>
              <w:wordWrap w:val="off"/>
            </w:pPr>
          </w:p>
        </w:tc>
      </w:tr>
      <w:tr>
        <w:trPr>
          <w:trHeight w:val="390"/>
        </w:trPr>
        <w:tc>
          <w:tcPr>
            <w:tcW w:type="dxa" w:w="5115"/>
            <w:tcBorders>
              <w:top w:val="nil"/>
              <w:left w:val="nil"/>
              <w:bottom w:val="nil"/>
              <w:right w:val="nil"/>
            </w:tcBorders>
            <w:tcMar>
              <w:top w:w="20" w:type="dxa"/>
              <w:left w:w="20" w:type="dxa"/>
              <w:bottom w:w="20" w:type="dxa"/>
              <w:right w:w="20" w:type="dxa"/>
            </w:tcMar>
            <w:vAlign w:val="center"/>
          </w:tcPr>
          <w:p>
            <w:pPr>
              <w:wordWrap w:val="off"/>
            </w:pPr>
          </w:p>
        </w:tc>
        <w:tc>
          <w:tcPr>
            <w:tcW w:type="dxa" w:w="4470"/>
            <w:hMerge w:val="restart"/>
            <w:tcBorders>
              <w:top w:val="nil"/>
              <w:left w:val="nil"/>
              <w:bottom w:val="nil"/>
              <w:right w:val="nil"/>
            </w:tcBorders>
            <w:tcMar>
              <w:top w:w="20" w:type="dxa"/>
              <w:left w:w="20" w:type="dxa"/>
              <w:bottom w:w="20" w:type="dxa"/>
              <w:right w:w="20" w:type="dxa"/>
            </w:tcMar>
            <w:vAlign w:val="center"/>
          </w:tcPr>
          <w:p>
            <w:pPr>
              <w:wordWrap w:val="off"/>
              <w:jc w:val="right"/>
            </w:pPr>
            <w:r>
              <w:rPr>
                <w:rFonts w:ascii="宋体" w:hAnsi="宋体" w:cs="宋体" w:eastAsia="宋体"/>
                <w:color w:val="000000"/>
                <w:sz w:val="22"/>
              </w:rPr>
              <w:t>苏州科技大学招投标管理办公室</w:t>
            </w:r>
          </w:p>
        </w:tc>
        <w:tc>
          <w:tcPr>
            <w:hMerge w:val="continue"/>
            <w:tcBorders>
              <w:top w:val="nil"/>
              <w:left w:val="nil"/>
              <w:bottom w:val="nil"/>
              <w:right w:val="nil"/>
            </w:tcBorders>
          </w:tcPr>
          <w:p/>
        </w:tc>
      </w:tr>
      <w:tr>
        <w:trPr>
          <w:trHeight w:val="390"/>
        </w:trPr>
        <w:tc>
          <w:tcPr>
            <w:tcW w:type="dxa" w:w="5115"/>
            <w:tcBorders>
              <w:top w:val="nil"/>
              <w:left w:val="nil"/>
              <w:bottom w:val="nil"/>
              <w:right w:val="nil"/>
            </w:tcBorders>
            <w:tcMar>
              <w:top w:w="20" w:type="dxa"/>
              <w:left w:w="20" w:type="dxa"/>
              <w:bottom w:w="20" w:type="dxa"/>
              <w:right w:w="20" w:type="dxa"/>
            </w:tcMar>
            <w:vAlign w:val="center"/>
          </w:tcPr>
          <w:p>
            <w:pPr>
              <w:wordWrap w:val="off"/>
            </w:pPr>
          </w:p>
        </w:tc>
        <w:tc>
          <w:tcPr>
            <w:tcW w:type="dxa" w:w="2595"/>
            <w:tcBorders>
              <w:top w:val="nil"/>
              <w:left w:val="nil"/>
              <w:bottom w:val="nil"/>
              <w:right w:val="nil"/>
            </w:tcBorders>
            <w:tcMar>
              <w:top w:w="20" w:type="dxa"/>
              <w:left w:w="20" w:type="dxa"/>
              <w:bottom w:w="20" w:type="dxa"/>
              <w:right w:w="20" w:type="dxa"/>
            </w:tcMar>
            <w:vAlign w:val="center"/>
          </w:tcPr>
          <w:p>
            <w:pPr>
              <w:wordWrap w:val="off"/>
            </w:pPr>
          </w:p>
        </w:tc>
        <w:tc>
          <w:tcPr>
            <w:tcW w:type="dxa" w:w="1875"/>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2"/>
              </w:rPr>
              <w:t>2025年11月26日</w:t>
            </w:r>
          </w:p>
        </w:tc>
      </w:tr>
      <w:tr>
        <w:trPr>
          <w:trHeight w:val="390" w:hRule="exact"/>
        </w:trPr>
        <w:tc>
          <w:tcPr>
            <w:tcW w:type="dxa" w:w="5115"/>
            <w:tcBorders>
              <w:top w:val="nil"/>
              <w:left w:val="nil"/>
              <w:bottom w:val="nil"/>
              <w:right w:val="nil"/>
            </w:tcBorders>
            <w:tcMar>
              <w:top w:w="20" w:type="dxa"/>
              <w:left w:w="20" w:type="dxa"/>
              <w:bottom w:w="20" w:type="dxa"/>
              <w:right w:w="20" w:type="dxa"/>
            </w:tcMar>
            <w:vAlign w:val="center"/>
          </w:tcPr>
          <w:p/>
        </w:tc>
        <w:tc>
          <w:tcPr>
            <w:tcW w:type="dxa" w:w="2595"/>
            <w:tcBorders>
              <w:top w:val="nil"/>
              <w:left w:val="nil"/>
              <w:bottom w:val="nil"/>
              <w:right w:val="nil"/>
            </w:tcBorders>
            <w:tcMar>
              <w:top w:w="20" w:type="dxa"/>
              <w:left w:w="20" w:type="dxa"/>
              <w:bottom w:w="20" w:type="dxa"/>
              <w:right w:w="20" w:type="dxa"/>
            </w:tcMar>
            <w:vAlign w:val="center"/>
          </w:tcPr>
          <w:p>
            <w:pPr>
              <w:wordWrap w:val="off"/>
            </w:pPr>
          </w:p>
        </w:tc>
        <w:tc>
          <w:tcPr>
            <w:tcW w:type="dxa" w:w="1875"/>
            <w:tcBorders>
              <w:top w:val="nil"/>
              <w:left w:val="nil"/>
              <w:bottom w:val="nil"/>
              <w:right w:val="nil"/>
            </w:tcBorders>
            <w:tcMar>
              <w:top w:w="20" w:type="dxa"/>
              <w:left w:w="20" w:type="dxa"/>
              <w:bottom w:w="20" w:type="dxa"/>
              <w:right w:w="20" w:type="dxa"/>
            </w:tcMar>
            <w:vAlign w:val="center"/>
          </w:tcPr>
          <w:p>
            <w:pPr>
              <w:wordWrap w:val="off"/>
            </w:pPr>
          </w:p>
        </w:tc>
      </w:tr>
    </w:tbl>
    <w:p>
      <w:pPr>
        <w:sectPr>
          <w:footerReference w:type="default" r:id="rId3"/>
          <w:pgSz w:w="11907" w:h="16839" w:orient="portrait"/>
          <w:pgMar w:top="1077" w:right="1154" w:bottom="1077" w:left="1154"/>
          <w:pgNumType w:start="1"/>
          <w:pgNumType w:start="1"/>
        </w:sectPr>
      </w:pPr>
    </w:p>
    <w:p>
      <w:pPr>
        <w:wordWrap w:val="off"/>
        <w:spacing w:before="75" w:after="75"/>
        <w:jc w:val="center"/>
        <w:outlineLvl w:val="0"/>
      </w:pPr>
      <w:r>
        <w:rPr>
          <w:rFonts w:ascii="宋体" w:hAnsi="宋体" w:cs="宋体" w:eastAsia="宋体"/>
          <w:b w:val="true"/>
          <w:color w:val="000000"/>
          <w:sz w:val="40"/>
        </w:rPr>
        <w:t>第二章 供应商须知</w:t>
      </w:r>
    </w:p>
    <w:p>
      <w:pPr>
        <w:wordWrap w:val="off"/>
        <w:spacing w:before="195" w:after="195"/>
        <w:jc w:val="center"/>
        <w:outlineLvl w:val="1"/>
      </w:pPr>
      <w:r>
        <w:rPr>
          <w:rFonts w:ascii="宋体" w:hAnsi="宋体" w:cs="宋体" w:eastAsia="宋体"/>
          <w:b w:val="true"/>
          <w:color w:val="000000"/>
          <w:sz w:val="32"/>
        </w:rPr>
        <w:t>前附表</w:t>
      </w:r>
    </w:p>
    <w:tbl>
      <w:tblPr>
        <w:tblW w:w="0" w:type="auto"/>
        <w:tblBorders>
          <w:top w:val="single"/>
          <w:left w:val="single"/>
          <w:bottom w:val="single"/>
          <w:right w:val="single"/>
          <w:insideH w:val="single"/>
          <w:insideV w:val="single"/>
        </w:tblBorders>
      </w:tblPr>
      <w:tblPr>
        <w:tblW w:type="dxa" w:w="9600"/>
        <w:jc w:val="center"/>
        <w:tblBorders>
          <w:top w:val="nil"/>
          <w:left w:val="nil"/>
          <w:bottom w:val="nil"/>
          <w:right w:val="nil"/>
        </w:tblBorders>
      </w:tblPr>
      <w:tr>
        <w:trPr>
          <w:trHeight w:val="390"/>
        </w:trPr>
        <w:tc>
          <w:tcPr>
            <w:tcW w:type="dxa" w:w="630"/>
            <w:tcBorders>
              <w:top w:val="single" w:sz="6"/>
              <w:left w:val="single" w:sz="6"/>
              <w:bottom w:val="nil"/>
              <w:right w:val="nil"/>
            </w:tcBorders>
            <w:tcMar>
              <w:top w:w="20" w:type="dxa"/>
              <w:left w:w="20" w:type="dxa"/>
              <w:bottom w:w="20" w:type="dxa"/>
              <w:right w:w="20" w:type="dxa"/>
            </w:tcMar>
            <w:vAlign w:val="center"/>
          </w:tcPr>
          <w:p>
            <w:pPr>
              <w:wordWrap w:val="off"/>
              <w:spacing w:lineRule="exact" w:line="315"/>
              <w:jc w:val="center"/>
            </w:pPr>
            <w:r>
              <w:rPr>
                <w:rFonts w:ascii="宋体" w:hAnsi="宋体" w:cs="宋体" w:eastAsia="宋体"/>
                <w:b w:val="true"/>
                <w:color w:val="000000"/>
                <w:sz w:val="21"/>
              </w:rPr>
              <w:t>序号</w:t>
            </w:r>
          </w:p>
        </w:tc>
        <w:tc>
          <w:tcPr>
            <w:tcW w:type="dxa" w:w="1635"/>
            <w:tcBorders>
              <w:top w:val="single" w:sz="6"/>
              <w:left w:val="single" w:sz="6"/>
              <w:bottom w:val="nil"/>
              <w:right w:val="nil"/>
            </w:tcBorders>
            <w:tcMar>
              <w:top w:w="20" w:type="dxa"/>
              <w:left w:w="20" w:type="dxa"/>
              <w:bottom w:w="20" w:type="dxa"/>
              <w:right w:w="20" w:type="dxa"/>
            </w:tcMar>
            <w:vAlign w:val="center"/>
          </w:tcPr>
          <w:p>
            <w:pPr>
              <w:wordWrap w:val="off"/>
              <w:spacing w:lineRule="exact" w:line="315"/>
              <w:jc w:val="center"/>
            </w:pPr>
            <w:r>
              <w:rPr>
                <w:rFonts w:ascii="宋体" w:hAnsi="宋体" w:cs="宋体" w:eastAsia="宋体"/>
                <w:b w:val="true"/>
                <w:color w:val="000000"/>
                <w:sz w:val="21"/>
              </w:rPr>
              <w:t>名   称</w:t>
            </w:r>
          </w:p>
        </w:tc>
        <w:tc>
          <w:tcPr>
            <w:tcW w:type="dxa" w:w="7335"/>
            <w:tcBorders>
              <w:top w:val="single" w:sz="6"/>
              <w:left w:val="single" w:sz="6"/>
              <w:bottom w:val="nil"/>
              <w:right w:val="single" w:sz="6"/>
            </w:tcBorders>
            <w:tcMar>
              <w:top w:w="20" w:type="dxa"/>
              <w:left w:w="20" w:type="dxa"/>
              <w:bottom w:w="20" w:type="dxa"/>
              <w:right w:w="20" w:type="dxa"/>
            </w:tcMar>
            <w:vAlign w:val="center"/>
          </w:tcPr>
          <w:p>
            <w:pPr>
              <w:wordWrap w:val="off"/>
              <w:spacing w:lineRule="exact" w:line="315"/>
              <w:jc w:val="center"/>
            </w:pPr>
            <w:r>
              <w:rPr>
                <w:rFonts w:ascii="宋体" w:hAnsi="宋体" w:cs="宋体" w:eastAsia="宋体"/>
                <w:b w:val="true"/>
                <w:color w:val="000000"/>
                <w:sz w:val="21"/>
              </w:rPr>
              <w:t>内</w:t>
            </w:r>
            <w:r>
              <w:rPr>
                <w:rFonts w:ascii="Times New Roman" w:hAnsi="Times New Roman" w:cs="Times New Roman" w:eastAsia="Times New Roman"/>
                <w:b w:val="true"/>
                <w:color w:val="000000"/>
                <w:sz w:val="21"/>
              </w:rPr>
              <w:t xml:space="preserve">               </w:t>
            </w:r>
            <w:r>
              <w:rPr>
                <w:rFonts w:ascii="宋体" w:hAnsi="宋体" w:cs="宋体" w:eastAsia="宋体"/>
                <w:b w:val="true"/>
                <w:color w:val="000000"/>
                <w:sz w:val="21"/>
              </w:rPr>
              <w:t>容</w:t>
            </w:r>
          </w:p>
        </w:tc>
      </w:tr>
      <w:tr>
        <w:trPr>
          <w:trHeight w:val="390"/>
        </w:trPr>
        <w:tc>
          <w:tcPr>
            <w:tcW w:type="dxa" w:w="63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Courier New" w:hAnsi="Courier New" w:cs="Courier New" w:eastAsia="Courier New"/>
                <w:color w:val="000000"/>
                <w:sz w:val="21"/>
              </w:rPr>
              <w:t>1</w:t>
            </w:r>
          </w:p>
        </w:tc>
        <w:tc>
          <w:tcPr>
            <w:tcW w:type="dxa" w:w="1635"/>
            <w:tcBorders>
              <w:top w:val="single" w:sz="6"/>
              <w:left w:val="single" w:sz="6"/>
              <w:bottom w:val="nil"/>
              <w:right w:val="nil"/>
            </w:tcBorders>
            <w:tcMar>
              <w:top w:w="20" w:type="dxa"/>
              <w:left w:w="20" w:type="dxa"/>
              <w:bottom w:w="20" w:type="dxa"/>
              <w:right w:w="20" w:type="dxa"/>
            </w:tcMar>
            <w:vAlign w:val="center"/>
          </w:tcPr>
          <w:p>
            <w:pPr>
              <w:wordWrap w:val="off"/>
              <w:spacing w:lineRule="exact" w:line="315"/>
              <w:jc w:val="center"/>
            </w:pPr>
            <w:r>
              <w:rPr>
                <w:rFonts w:ascii="宋体" w:hAnsi="宋体" w:cs="宋体" w:eastAsia="宋体"/>
                <w:color w:val="000000"/>
                <w:sz w:val="21"/>
              </w:rPr>
              <w:t>项目编号</w:t>
            </w:r>
          </w:p>
        </w:tc>
        <w:tc>
          <w:tcPr>
            <w:tcW w:type="dxa" w:w="7335"/>
            <w:tcBorders>
              <w:top w:val="single" w:sz="6"/>
              <w:left w:val="single" w:sz="6"/>
              <w:bottom w:val="nil"/>
              <w:right w:val="single" w:sz="6"/>
            </w:tcBorders>
            <w:tcMar>
              <w:top w:w="20" w:type="dxa"/>
              <w:left w:w="20" w:type="dxa"/>
              <w:bottom w:w="20" w:type="dxa"/>
              <w:right w:w="20" w:type="dxa"/>
            </w:tcMar>
            <w:vAlign w:val="center"/>
          </w:tcPr>
          <w:p>
            <w:pPr>
              <w:wordWrap w:val="off"/>
              <w:spacing w:lineRule="exact" w:line="315"/>
              <w:jc w:val="left"/>
            </w:pPr>
            <w:r>
              <w:rPr>
                <w:rFonts w:ascii="宋体" w:hAnsi="宋体" w:cs="宋体" w:eastAsia="宋体"/>
                <w:color w:val="000000"/>
                <w:sz w:val="21"/>
              </w:rPr>
              <w:t>20250083号</w:t>
            </w:r>
          </w:p>
        </w:tc>
      </w:tr>
      <w:tr>
        <w:trPr>
          <w:trHeight w:val="390"/>
        </w:trPr>
        <w:tc>
          <w:tcPr>
            <w:tcW w:type="dxa" w:w="63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Courier New" w:hAnsi="Courier New" w:cs="Courier New" w:eastAsia="Courier New"/>
                <w:color w:val="000000"/>
                <w:sz w:val="21"/>
              </w:rPr>
              <w:t>2</w:t>
            </w:r>
          </w:p>
        </w:tc>
        <w:tc>
          <w:tcPr>
            <w:tcW w:type="dxa" w:w="1635"/>
            <w:tcBorders>
              <w:top w:val="single" w:sz="6"/>
              <w:left w:val="single" w:sz="6"/>
              <w:bottom w:val="nil"/>
              <w:right w:val="nil"/>
            </w:tcBorders>
            <w:tcMar>
              <w:top w:w="20" w:type="dxa"/>
              <w:left w:w="20" w:type="dxa"/>
              <w:bottom w:w="20" w:type="dxa"/>
              <w:right w:w="20" w:type="dxa"/>
            </w:tcMar>
            <w:vAlign w:val="center"/>
          </w:tcPr>
          <w:p>
            <w:pPr>
              <w:wordWrap w:val="off"/>
              <w:spacing w:lineRule="exact" w:line="315"/>
              <w:jc w:val="center"/>
            </w:pPr>
            <w:r>
              <w:rPr>
                <w:rFonts w:ascii="宋体" w:hAnsi="宋体" w:cs="宋体" w:eastAsia="宋体"/>
                <w:color w:val="000000"/>
                <w:sz w:val="21"/>
              </w:rPr>
              <w:t>项目名称</w:t>
            </w:r>
          </w:p>
        </w:tc>
        <w:tc>
          <w:tcPr>
            <w:tcW w:type="dxa" w:w="7335"/>
            <w:tcBorders>
              <w:top w:val="single" w:sz="6"/>
              <w:left w:val="single" w:sz="6"/>
              <w:bottom w:val="nil"/>
              <w:right w:val="single" w:sz="6"/>
            </w:tcBorders>
            <w:tcMar>
              <w:top w:w="20" w:type="dxa"/>
              <w:left w:w="20" w:type="dxa"/>
              <w:bottom w:w="20" w:type="dxa"/>
              <w:right w:w="20" w:type="dxa"/>
            </w:tcMar>
            <w:vAlign w:val="center"/>
          </w:tcPr>
          <w:p>
            <w:pPr>
              <w:wordWrap w:val="off"/>
              <w:spacing w:lineRule="exact" w:line="315"/>
              <w:jc w:val="left"/>
            </w:pPr>
            <w:r>
              <w:rPr>
                <w:rFonts w:ascii="宋体" w:hAnsi="宋体" w:cs="宋体" w:eastAsia="宋体"/>
                <w:color w:val="000000"/>
                <w:sz w:val="21"/>
              </w:rPr>
              <w:t>信息中心WEB资源发布系统</w:t>
            </w:r>
          </w:p>
        </w:tc>
      </w:tr>
      <w:tr>
        <w:trPr>
          <w:trHeight w:val="390"/>
        </w:trPr>
        <w:tc>
          <w:tcPr>
            <w:tcW w:type="dxa" w:w="63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Courier New" w:hAnsi="Courier New" w:cs="Courier New" w:eastAsia="Courier New"/>
                <w:color w:val="000000"/>
                <w:sz w:val="21"/>
              </w:rPr>
              <w:t>3</w:t>
            </w:r>
          </w:p>
        </w:tc>
        <w:tc>
          <w:tcPr>
            <w:tcW w:type="dxa" w:w="1635"/>
            <w:tcBorders>
              <w:top w:val="single" w:sz="6"/>
              <w:left w:val="single" w:sz="6"/>
              <w:bottom w:val="nil"/>
              <w:right w:val="nil"/>
            </w:tcBorders>
            <w:tcMar>
              <w:top w:w="20" w:type="dxa"/>
              <w:left w:w="20" w:type="dxa"/>
              <w:bottom w:w="20" w:type="dxa"/>
              <w:right w:w="20" w:type="dxa"/>
            </w:tcMar>
            <w:vAlign w:val="center"/>
          </w:tcPr>
          <w:p>
            <w:pPr>
              <w:wordWrap w:val="off"/>
              <w:spacing w:lineRule="exact" w:line="315"/>
              <w:jc w:val="center"/>
            </w:pPr>
            <w:r>
              <w:rPr>
                <w:rFonts w:ascii="宋体" w:hAnsi="宋体" w:cs="宋体" w:eastAsia="宋体"/>
                <w:color w:val="000000"/>
                <w:sz w:val="21"/>
              </w:rPr>
              <w:t>项目地点</w:t>
            </w:r>
          </w:p>
        </w:tc>
        <w:tc>
          <w:tcPr>
            <w:tcW w:type="dxa" w:w="7335"/>
            <w:tcBorders>
              <w:top w:val="single" w:sz="6"/>
              <w:left w:val="single" w:sz="6"/>
              <w:bottom w:val="nil"/>
              <w:right w:val="single" w:sz="6"/>
            </w:tcBorders>
            <w:tcMar>
              <w:top w:w="20" w:type="dxa"/>
              <w:left w:w="20" w:type="dxa"/>
              <w:bottom w:w="20" w:type="dxa"/>
              <w:right w:w="20" w:type="dxa"/>
            </w:tcMar>
            <w:vAlign w:val="top"/>
          </w:tcPr>
          <w:p>
            <w:pPr>
              <w:wordWrap w:val="off"/>
              <w:spacing w:lineRule="exact" w:line="315"/>
              <w:jc w:val="left"/>
            </w:pPr>
            <w:r>
              <w:rPr>
                <w:rFonts w:ascii="宋体" w:hAnsi="宋体" w:cs="宋体" w:eastAsia="宋体"/>
                <w:color w:val="000000"/>
                <w:sz w:val="21"/>
              </w:rPr>
              <w:t>江苏省苏州市虎丘区学府路99号苏州科技大学石湖校区</w:t>
            </w:r>
          </w:p>
        </w:tc>
      </w:tr>
      <w:tr>
        <w:trPr>
          <w:trHeight w:val="915"/>
        </w:trPr>
        <w:tc>
          <w:tcPr>
            <w:tcW w:type="dxa" w:w="63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Courier New" w:hAnsi="Courier New" w:cs="Courier New" w:eastAsia="Courier New"/>
                <w:color w:val="000000"/>
                <w:sz w:val="21"/>
              </w:rPr>
              <w:t>4</w:t>
            </w:r>
          </w:p>
        </w:tc>
        <w:tc>
          <w:tcPr>
            <w:tcW w:type="dxa" w:w="1635"/>
            <w:tcBorders>
              <w:top w:val="single" w:sz="6"/>
              <w:left w:val="single" w:sz="6"/>
              <w:bottom w:val="nil"/>
              <w:right w:val="nil"/>
            </w:tcBorders>
            <w:tcMar>
              <w:top w:w="20" w:type="dxa"/>
              <w:left w:w="20" w:type="dxa"/>
              <w:bottom w:w="20" w:type="dxa"/>
              <w:right w:w="20" w:type="dxa"/>
            </w:tcMar>
            <w:vAlign w:val="center"/>
          </w:tcPr>
          <w:p>
            <w:pPr>
              <w:wordWrap w:val="off"/>
              <w:spacing w:lineRule="exact" w:line="315"/>
              <w:jc w:val="center"/>
            </w:pPr>
            <w:r>
              <w:rPr>
                <w:rFonts w:ascii="宋体" w:hAnsi="宋体" w:cs="宋体" w:eastAsia="宋体"/>
                <w:color w:val="000000"/>
                <w:sz w:val="21"/>
              </w:rPr>
              <w:t>采购人</w:t>
            </w:r>
          </w:p>
        </w:tc>
        <w:tc>
          <w:tcPr>
            <w:tcW w:type="dxa" w:w="7335"/>
            <w:tcBorders>
              <w:top w:val="single" w:sz="6"/>
              <w:left w:val="single" w:sz="6"/>
              <w:bottom w:val="nil"/>
              <w:right w:val="single" w:sz="6"/>
            </w:tcBorders>
            <w:tcMar>
              <w:top w:w="20" w:type="dxa"/>
              <w:left w:w="20" w:type="dxa"/>
              <w:bottom w:w="20" w:type="dxa"/>
              <w:right w:w="20" w:type="dxa"/>
            </w:tcMar>
            <w:vAlign w:val="center"/>
          </w:tcPr>
          <w:p>
            <w:pPr>
              <w:wordWrap w:val="off"/>
              <w:spacing w:lineRule="exact" w:line="315"/>
              <w:jc w:val="left"/>
            </w:pPr>
            <w:r>
              <w:rPr>
                <w:rFonts w:ascii="宋体" w:hAnsi="宋体" w:cs="宋体" w:eastAsia="宋体"/>
                <w:color w:val="000000"/>
                <w:sz w:val="21"/>
              </w:rPr>
              <w:t>名称：</w:t>
            </w:r>
            <w:r>
              <w:rPr>
                <w:rFonts w:ascii="宋体" w:hAnsi="宋体" w:cs="宋体" w:eastAsia="宋体"/>
                <w:color w:val="000000"/>
                <w:sz w:val="21"/>
              </w:rPr>
              <w:t>苏州科技大学</w:t>
            </w:r>
          </w:p>
          <w:p>
            <w:pPr>
              <w:wordWrap w:val="off"/>
              <w:spacing w:before="0" w:after="0" w:lineRule="exact" w:line="315"/>
              <w:jc w:val="left"/>
            </w:pPr>
            <w:r>
              <w:rPr>
                <w:rFonts w:ascii="宋体" w:hAnsi="宋体" w:cs="宋体" w:eastAsia="宋体"/>
                <w:color w:val="000000"/>
                <w:sz w:val="21"/>
              </w:rPr>
              <w:t>地址：</w:t>
            </w:r>
            <w:r>
              <w:rPr>
                <w:rFonts w:ascii="宋体" w:hAnsi="宋体" w:cs="宋体" w:eastAsia="宋体"/>
                <w:color w:val="000000"/>
                <w:sz w:val="21"/>
              </w:rPr>
              <w:t>江苏省苏州市虎丘区学府路99号</w:t>
            </w:r>
          </w:p>
          <w:p>
            <w:pPr>
              <w:wordWrap w:val="off"/>
              <w:spacing w:before="0" w:after="0" w:lineRule="exact" w:line="315"/>
              <w:jc w:val="left"/>
            </w:pPr>
            <w:r>
              <w:rPr>
                <w:rFonts w:ascii="宋体" w:hAnsi="宋体" w:cs="宋体" w:eastAsia="宋体"/>
                <w:color w:val="000000"/>
                <w:sz w:val="21"/>
              </w:rPr>
              <w:t>联系方式：</w:t>
            </w:r>
            <w:r>
              <w:rPr>
                <w:rFonts w:ascii="宋体" w:hAnsi="宋体" w:cs="宋体" w:eastAsia="宋体"/>
                <w:color w:val="000000"/>
                <w:sz w:val="21"/>
              </w:rPr>
              <w:t>王老师 0512-69379123</w:t>
            </w:r>
          </w:p>
        </w:tc>
      </w:tr>
      <w:tr>
        <w:trPr>
          <w:trHeight w:val="390"/>
        </w:trPr>
        <w:tc>
          <w:tcPr>
            <w:tcW w:type="dxa" w:w="63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Courier New" w:hAnsi="Courier New" w:cs="Courier New" w:eastAsia="Courier New"/>
                <w:color w:val="000000"/>
                <w:sz w:val="21"/>
              </w:rPr>
              <w:t>5</w:t>
            </w:r>
          </w:p>
        </w:tc>
        <w:tc>
          <w:tcPr>
            <w:tcW w:type="dxa" w:w="1635"/>
            <w:tcBorders>
              <w:top w:val="single" w:sz="6"/>
              <w:left w:val="single" w:sz="6"/>
              <w:bottom w:val="nil"/>
              <w:right w:val="nil"/>
            </w:tcBorders>
            <w:tcMar>
              <w:top w:w="20" w:type="dxa"/>
              <w:left w:w="20" w:type="dxa"/>
              <w:bottom w:w="20" w:type="dxa"/>
              <w:right w:w="20" w:type="dxa"/>
            </w:tcMar>
            <w:vAlign w:val="center"/>
          </w:tcPr>
          <w:p>
            <w:pPr>
              <w:wordWrap w:val="off"/>
              <w:spacing w:lineRule="exact" w:line="315"/>
              <w:jc w:val="center"/>
            </w:pPr>
            <w:r>
              <w:rPr>
                <w:rFonts w:ascii="宋体" w:hAnsi="宋体" w:cs="宋体" w:eastAsia="宋体"/>
                <w:color w:val="000000"/>
                <w:sz w:val="21"/>
              </w:rPr>
              <w:t>响应</w:t>
            </w:r>
            <w:r>
              <w:rPr>
                <w:rFonts w:ascii="宋体" w:hAnsi="宋体" w:cs="宋体" w:eastAsia="宋体"/>
                <w:color w:val="000000"/>
                <w:sz w:val="21"/>
              </w:rPr>
              <w:t>文件</w:t>
            </w:r>
          </w:p>
          <w:p>
            <w:pPr>
              <w:wordWrap w:val="off"/>
              <w:spacing w:before="0" w:after="0" w:lineRule="exact" w:line="315"/>
              <w:jc w:val="center"/>
            </w:pPr>
            <w:r>
              <w:rPr>
                <w:rFonts w:ascii="宋体" w:hAnsi="宋体" w:cs="宋体" w:eastAsia="宋体"/>
                <w:color w:val="000000"/>
                <w:sz w:val="21"/>
              </w:rPr>
              <w:t>份数</w:t>
            </w:r>
          </w:p>
        </w:tc>
        <w:tc>
          <w:tcPr>
            <w:tcW w:type="dxa" w:w="7335"/>
            <w:tcBorders>
              <w:top w:val="single" w:sz="6"/>
              <w:left w:val="single" w:sz="6"/>
              <w:bottom w:val="nil"/>
              <w:right w:val="single" w:sz="6"/>
            </w:tcBorders>
            <w:tcMar>
              <w:top w:w="20" w:type="dxa"/>
              <w:left w:w="20" w:type="dxa"/>
              <w:bottom w:w="20" w:type="dxa"/>
              <w:right w:w="20" w:type="dxa"/>
            </w:tcMar>
            <w:vAlign w:val="top"/>
          </w:tcPr>
          <w:p>
            <w:pPr>
              <w:wordWrap w:val="off"/>
              <w:spacing w:lineRule="exact" w:line="315"/>
              <w:jc w:val="left"/>
            </w:pPr>
            <w:r>
              <w:rPr>
                <w:rFonts w:ascii="宋体" w:hAnsi="宋体" w:cs="宋体" w:eastAsia="宋体"/>
                <w:color w:val="000000"/>
                <w:sz w:val="21"/>
              </w:rPr>
              <w:t>正本1份，副本</w:t>
            </w:r>
            <w:r>
              <w:rPr>
                <w:rFonts w:ascii="宋体" w:hAnsi="宋体" w:cs="宋体" w:eastAsia="宋体"/>
                <w:color w:val="000000"/>
                <w:sz w:val="21"/>
              </w:rPr>
              <w:t>2</w:t>
            </w:r>
            <w:r>
              <w:rPr>
                <w:rFonts w:ascii="宋体" w:hAnsi="宋体" w:cs="宋体" w:eastAsia="宋体"/>
                <w:color w:val="000000"/>
                <w:sz w:val="21"/>
              </w:rPr>
              <w:t>份，分别装订成册后密封，并在密封处加盖单位公章，若正、副本有矛盾之处以正本为准。</w:t>
            </w:r>
            <w:r>
              <w:rPr>
                <w:rFonts w:ascii="宋体" w:hAnsi="宋体" w:cs="宋体" w:eastAsia="宋体"/>
                <w:color w:val="000000"/>
                <w:sz w:val="21"/>
              </w:rPr>
              <w:t>　　　　　　</w:t>
            </w:r>
          </w:p>
        </w:tc>
      </w:tr>
      <w:tr>
        <w:trPr>
          <w:trHeight w:val="390"/>
        </w:trPr>
        <w:tc>
          <w:tcPr>
            <w:tcW w:type="dxa" w:w="63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Courier New" w:hAnsi="Courier New" w:cs="Courier New" w:eastAsia="Courier New"/>
                <w:color w:val="000000"/>
                <w:sz w:val="21"/>
              </w:rPr>
              <w:t>6</w:t>
            </w:r>
          </w:p>
        </w:tc>
        <w:tc>
          <w:tcPr>
            <w:tcW w:type="dxa" w:w="1635"/>
            <w:tcBorders>
              <w:top w:val="single" w:sz="6"/>
              <w:left w:val="single" w:sz="6"/>
              <w:bottom w:val="nil"/>
              <w:right w:val="nil"/>
            </w:tcBorders>
            <w:tcMar>
              <w:top w:w="20" w:type="dxa"/>
              <w:left w:w="20" w:type="dxa"/>
              <w:bottom w:w="20" w:type="dxa"/>
              <w:right w:w="20" w:type="dxa"/>
            </w:tcMar>
            <w:vAlign w:val="center"/>
          </w:tcPr>
          <w:p>
            <w:pPr>
              <w:wordWrap w:val="off"/>
              <w:spacing w:lineRule="exact" w:line="315"/>
              <w:jc w:val="center"/>
            </w:pPr>
            <w:r>
              <w:rPr>
                <w:rFonts w:ascii="宋体" w:hAnsi="宋体" w:cs="宋体" w:eastAsia="宋体"/>
                <w:color w:val="000000"/>
                <w:sz w:val="21"/>
              </w:rPr>
              <w:t>响应</w:t>
            </w:r>
            <w:r>
              <w:rPr>
                <w:rFonts w:ascii="宋体" w:hAnsi="宋体" w:cs="宋体" w:eastAsia="宋体"/>
                <w:color w:val="000000"/>
                <w:sz w:val="21"/>
              </w:rPr>
              <w:t>文件有效期</w:t>
            </w:r>
          </w:p>
        </w:tc>
        <w:tc>
          <w:tcPr>
            <w:tcW w:type="dxa" w:w="7335"/>
            <w:tcBorders>
              <w:top w:val="single" w:sz="6"/>
              <w:left w:val="single" w:sz="6"/>
              <w:bottom w:val="nil"/>
              <w:right w:val="single" w:sz="6"/>
            </w:tcBorders>
            <w:tcMar>
              <w:top w:w="20" w:type="dxa"/>
              <w:left w:w="20" w:type="dxa"/>
              <w:bottom w:w="20" w:type="dxa"/>
              <w:right w:w="20" w:type="dxa"/>
            </w:tcMar>
            <w:vAlign w:val="center"/>
          </w:tcPr>
          <w:p>
            <w:pPr>
              <w:wordWrap w:val="off"/>
              <w:spacing w:lineRule="exact" w:line="315"/>
              <w:jc w:val="left"/>
            </w:pPr>
            <w:r>
              <w:rPr>
                <w:rFonts w:ascii="宋体" w:hAnsi="宋体" w:cs="宋体" w:eastAsia="宋体"/>
                <w:color w:val="000000"/>
                <w:sz w:val="21"/>
              </w:rPr>
              <w:t>开标之日起</w:t>
            </w:r>
            <w:r>
              <w:rPr>
                <w:rFonts w:ascii="宋体" w:hAnsi="宋体" w:cs="宋体" w:eastAsia="宋体"/>
                <w:color w:val="000000"/>
                <w:sz w:val="21"/>
                <w:u w:val="single"/>
              </w:rPr>
              <w:t>60</w:t>
            </w:r>
            <w:r>
              <w:rPr>
                <w:rFonts w:ascii="宋体" w:hAnsi="宋体" w:cs="宋体" w:eastAsia="宋体"/>
                <w:color w:val="000000"/>
                <w:sz w:val="21"/>
              </w:rPr>
              <w:t>天</w:t>
            </w:r>
          </w:p>
        </w:tc>
      </w:tr>
      <w:tr>
        <w:trPr>
          <w:trHeight w:val="390"/>
        </w:trPr>
        <w:tc>
          <w:tcPr>
            <w:tcW w:type="dxa" w:w="63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Courier New" w:hAnsi="Courier New" w:cs="Courier New" w:eastAsia="Courier New"/>
                <w:color w:val="000000"/>
                <w:sz w:val="21"/>
              </w:rPr>
              <w:t>7</w:t>
            </w:r>
          </w:p>
        </w:tc>
        <w:tc>
          <w:tcPr>
            <w:tcW w:type="dxa" w:w="1635"/>
            <w:tcBorders>
              <w:top w:val="single" w:sz="6"/>
              <w:left w:val="single" w:sz="6"/>
              <w:bottom w:val="nil"/>
              <w:right w:val="nil"/>
            </w:tcBorders>
            <w:tcMar>
              <w:top w:w="20" w:type="dxa"/>
              <w:left w:w="20" w:type="dxa"/>
              <w:bottom w:w="20" w:type="dxa"/>
              <w:right w:w="20" w:type="dxa"/>
            </w:tcMar>
            <w:vAlign w:val="center"/>
          </w:tcPr>
          <w:p>
            <w:pPr>
              <w:wordWrap w:val="off"/>
              <w:spacing w:lineRule="exact" w:line="315"/>
              <w:jc w:val="center"/>
            </w:pPr>
            <w:r>
              <w:rPr>
                <w:rFonts w:ascii="宋体" w:hAnsi="宋体" w:cs="宋体" w:eastAsia="宋体"/>
                <w:color w:val="000000"/>
                <w:sz w:val="21"/>
              </w:rPr>
              <w:t>提供样品</w:t>
            </w:r>
          </w:p>
        </w:tc>
        <w:tc>
          <w:tcPr>
            <w:tcW w:type="dxa" w:w="7335"/>
            <w:tcBorders>
              <w:top w:val="single" w:sz="6"/>
              <w:left w:val="single" w:sz="6"/>
              <w:bottom w:val="nil"/>
              <w:right w:val="single" w:sz="6"/>
            </w:tcBorders>
            <w:tcMar>
              <w:top w:w="20" w:type="dxa"/>
              <w:left w:w="20" w:type="dxa"/>
              <w:bottom w:w="20" w:type="dxa"/>
              <w:right w:w="20" w:type="dxa"/>
            </w:tcMar>
            <w:vAlign w:val="center"/>
          </w:tcPr>
          <w:p>
            <w:pPr>
              <w:wordWrap w:val="off"/>
              <w:spacing w:lineRule="exact" w:line="315"/>
              <w:jc w:val="left"/>
            </w:pPr>
            <w:r>
              <w:rPr>
                <w:rFonts w:ascii="宋体" w:hAnsi="宋体" w:cs="宋体" w:eastAsia="宋体"/>
                <w:color w:val="000000"/>
                <w:sz w:val="21"/>
              </w:rPr>
              <w:t>本项目不需要提供样品。</w:t>
            </w:r>
          </w:p>
        </w:tc>
      </w:tr>
      <w:tr>
        <w:trPr>
          <w:trHeight w:val="390"/>
        </w:trPr>
        <w:tc>
          <w:tcPr>
            <w:tcW w:type="dxa" w:w="63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Courier New" w:hAnsi="Courier New" w:cs="Courier New" w:eastAsia="Courier New"/>
                <w:color w:val="000000"/>
                <w:sz w:val="21"/>
              </w:rPr>
              <w:t>8</w:t>
            </w:r>
          </w:p>
        </w:tc>
        <w:tc>
          <w:tcPr>
            <w:tcW w:type="dxa" w:w="1635"/>
            <w:tcBorders>
              <w:top w:val="single" w:sz="6"/>
              <w:left w:val="single" w:sz="6"/>
              <w:bottom w:val="nil"/>
              <w:right w:val="nil"/>
            </w:tcBorders>
            <w:tcMar>
              <w:top w:w="20" w:type="dxa"/>
              <w:left w:w="20" w:type="dxa"/>
              <w:bottom w:w="20" w:type="dxa"/>
              <w:right w:w="20" w:type="dxa"/>
            </w:tcMar>
            <w:vAlign w:val="center"/>
          </w:tcPr>
          <w:p>
            <w:pPr>
              <w:wordWrap w:val="off"/>
              <w:spacing w:lineRule="exact" w:line="315"/>
              <w:jc w:val="center"/>
            </w:pPr>
            <w:r>
              <w:rPr>
                <w:rFonts w:ascii="宋体" w:hAnsi="宋体" w:cs="宋体" w:eastAsia="宋体"/>
                <w:color w:val="000000"/>
                <w:sz w:val="21"/>
              </w:rPr>
              <w:t>履约保证金</w:t>
            </w:r>
          </w:p>
        </w:tc>
        <w:tc>
          <w:tcPr>
            <w:tcW w:type="dxa" w:w="7335"/>
            <w:tcBorders>
              <w:top w:val="single" w:sz="6"/>
              <w:left w:val="single" w:sz="6"/>
              <w:bottom w:val="nil"/>
              <w:right w:val="single" w:sz="6"/>
            </w:tcBorders>
            <w:tcMar>
              <w:top w:w="20" w:type="dxa"/>
              <w:left w:w="20" w:type="dxa"/>
              <w:bottom w:w="20" w:type="dxa"/>
              <w:right w:w="20" w:type="dxa"/>
            </w:tcMar>
            <w:vAlign w:val="center"/>
          </w:tcPr>
          <w:p>
            <w:pPr>
              <w:wordWrap w:val="off"/>
              <w:spacing w:lineRule="exact" w:line="315"/>
              <w:jc w:val="left"/>
            </w:pPr>
            <w:r>
              <w:rPr>
                <w:rFonts w:ascii="宋体" w:hAnsi="宋体" w:cs="宋体" w:eastAsia="宋体"/>
                <w:color w:val="000000"/>
                <w:sz w:val="21"/>
              </w:rPr>
              <w:t>本项目不需要缴纳履约保证金。</w:t>
            </w:r>
            <w:r>
              <w:rPr>
                <w:rFonts w:ascii="宋体" w:hAnsi="宋体" w:cs="宋体" w:eastAsia="宋体"/>
                <w:color w:val="000000"/>
                <w:sz w:val="21"/>
              </w:rPr>
              <w:t xml:space="preserve"> </w:t>
            </w:r>
          </w:p>
        </w:tc>
      </w:tr>
      <w:tr>
        <w:trPr>
          <w:trHeight w:val="390"/>
        </w:trPr>
        <w:tc>
          <w:tcPr>
            <w:tcW w:type="dxa" w:w="63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Courier New" w:hAnsi="Courier New" w:cs="Courier New" w:eastAsia="Courier New"/>
                <w:color w:val="000000"/>
                <w:sz w:val="21"/>
              </w:rPr>
              <w:t>9</w:t>
            </w:r>
          </w:p>
        </w:tc>
        <w:tc>
          <w:tcPr>
            <w:tcW w:type="dxa" w:w="1635"/>
            <w:tcBorders>
              <w:top w:val="single" w:sz="6"/>
              <w:left w:val="single" w:sz="6"/>
              <w:bottom w:val="nil"/>
              <w:right w:val="nil"/>
            </w:tcBorders>
            <w:tcMar>
              <w:top w:w="20" w:type="dxa"/>
              <w:left w:w="20" w:type="dxa"/>
              <w:bottom w:w="20" w:type="dxa"/>
              <w:right w:w="20" w:type="dxa"/>
            </w:tcMar>
            <w:vAlign w:val="center"/>
          </w:tcPr>
          <w:p>
            <w:pPr>
              <w:wordWrap w:val="off"/>
              <w:spacing w:lineRule="exact" w:line="315"/>
              <w:jc w:val="center"/>
            </w:pPr>
            <w:r>
              <w:rPr>
                <w:rFonts w:ascii="宋体" w:hAnsi="宋体" w:cs="宋体" w:eastAsia="宋体"/>
                <w:color w:val="000000"/>
                <w:sz w:val="21"/>
              </w:rPr>
              <w:t>标书工本费</w:t>
            </w:r>
          </w:p>
        </w:tc>
        <w:tc>
          <w:tcPr>
            <w:tcW w:type="dxa" w:w="7335"/>
            <w:tcBorders>
              <w:top w:val="single" w:sz="6"/>
              <w:left w:val="single" w:sz="6"/>
              <w:bottom w:val="nil"/>
              <w:right w:val="single" w:sz="6"/>
            </w:tcBorders>
            <w:tcMar>
              <w:top w:w="20" w:type="dxa"/>
              <w:left w:w="20" w:type="dxa"/>
              <w:bottom w:w="20" w:type="dxa"/>
              <w:right w:w="20" w:type="dxa"/>
            </w:tcMar>
            <w:vAlign w:val="center"/>
          </w:tcPr>
          <w:p>
            <w:pPr>
              <w:wordWrap w:val="off"/>
              <w:spacing w:lineRule="exact" w:line="315"/>
              <w:jc w:val="left"/>
            </w:pPr>
            <w:r>
              <w:rPr>
                <w:rFonts w:ascii="宋体" w:hAnsi="宋体" w:cs="宋体" w:eastAsia="宋体"/>
                <w:color w:val="000000"/>
                <w:sz w:val="21"/>
              </w:rPr>
              <w:t>凡参加投标的单位需交纳标书工本费，合计人民币</w:t>
            </w:r>
            <w:r>
              <w:rPr>
                <w:rFonts w:ascii="宋体" w:hAnsi="宋体" w:cs="宋体" w:eastAsia="宋体"/>
                <w:color w:val="000000"/>
                <w:sz w:val="21"/>
              </w:rPr>
              <w:t>伍佰元整</w:t>
            </w:r>
            <w:r>
              <w:rPr>
                <w:rFonts w:ascii="宋体" w:hAnsi="宋体" w:cs="宋体" w:eastAsia="宋体"/>
                <w:color w:val="000000"/>
                <w:sz w:val="21"/>
              </w:rPr>
              <w:t>（￥</w:t>
            </w:r>
            <w:r>
              <w:rPr>
                <w:rFonts w:ascii="宋体" w:hAnsi="宋体" w:cs="宋体" w:eastAsia="宋体"/>
                <w:color w:val="000000"/>
                <w:sz w:val="21"/>
              </w:rPr>
              <w:t>500.00</w:t>
            </w:r>
            <w:r>
              <w:rPr>
                <w:rFonts w:ascii="宋体" w:hAnsi="宋体" w:cs="宋体" w:eastAsia="宋体"/>
                <w:color w:val="000000"/>
                <w:sz w:val="21"/>
              </w:rPr>
              <w:t>）</w:t>
            </w:r>
          </w:p>
        </w:tc>
      </w:tr>
      <w:tr>
        <w:trPr>
          <w:trHeight w:val="810"/>
        </w:trPr>
        <w:tc>
          <w:tcPr>
            <w:tcW w:type="dxa" w:w="63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Courier New" w:hAnsi="Courier New" w:cs="Courier New" w:eastAsia="Courier New"/>
                <w:color w:val="000000"/>
                <w:sz w:val="21"/>
              </w:rPr>
              <w:t>10</w:t>
            </w:r>
          </w:p>
        </w:tc>
        <w:tc>
          <w:tcPr>
            <w:tcW w:type="dxa" w:w="1635"/>
            <w:tcBorders>
              <w:top w:val="single" w:sz="6"/>
              <w:left w:val="single" w:sz="6"/>
              <w:bottom w:val="nil"/>
              <w:right w:val="nil"/>
            </w:tcBorders>
            <w:tcMar>
              <w:top w:w="20" w:type="dxa"/>
              <w:left w:w="20" w:type="dxa"/>
              <w:bottom w:w="20" w:type="dxa"/>
              <w:right w:w="20" w:type="dxa"/>
            </w:tcMar>
            <w:vAlign w:val="center"/>
          </w:tcPr>
          <w:p>
            <w:pPr>
              <w:wordWrap w:val="off"/>
              <w:spacing w:lineRule="exact" w:line="315"/>
              <w:jc w:val="center"/>
            </w:pPr>
            <w:r>
              <w:rPr>
                <w:rFonts w:ascii="宋体" w:hAnsi="宋体" w:cs="宋体" w:eastAsia="宋体"/>
                <w:color w:val="000000"/>
                <w:sz w:val="21"/>
              </w:rPr>
              <w:t>响应</w:t>
            </w:r>
            <w:r>
              <w:rPr>
                <w:rFonts w:ascii="宋体" w:hAnsi="宋体" w:cs="宋体" w:eastAsia="宋体"/>
                <w:color w:val="000000"/>
                <w:sz w:val="21"/>
              </w:rPr>
              <w:t>文件</w:t>
            </w:r>
          </w:p>
          <w:p>
            <w:pPr>
              <w:wordWrap w:val="off"/>
              <w:spacing w:before="0" w:after="0" w:lineRule="exact" w:line="315"/>
              <w:jc w:val="center"/>
            </w:pPr>
            <w:r>
              <w:rPr>
                <w:rFonts w:ascii="宋体" w:hAnsi="宋体" w:cs="宋体" w:eastAsia="宋体"/>
                <w:color w:val="000000"/>
                <w:sz w:val="21"/>
              </w:rPr>
              <w:t>现场递交</w:t>
            </w:r>
          </w:p>
        </w:tc>
        <w:tc>
          <w:tcPr>
            <w:tcW w:type="dxa" w:w="7335"/>
            <w:tcBorders>
              <w:top w:val="single" w:sz="6"/>
              <w:left w:val="single" w:sz="6"/>
              <w:bottom w:val="nil"/>
              <w:right w:val="single" w:sz="6"/>
            </w:tcBorders>
            <w:tcMar>
              <w:top w:w="20" w:type="dxa"/>
              <w:left w:w="20" w:type="dxa"/>
              <w:bottom w:w="20" w:type="dxa"/>
              <w:right w:w="20" w:type="dxa"/>
            </w:tcMar>
            <w:vAlign w:val="top"/>
          </w:tcPr>
          <w:p>
            <w:pPr>
              <w:wordWrap w:val="off"/>
              <w:spacing w:lineRule="exact" w:line="315"/>
              <w:jc w:val="left"/>
            </w:pPr>
            <w:r>
              <w:rPr>
                <w:rFonts w:ascii="宋体" w:hAnsi="宋体" w:cs="宋体" w:eastAsia="宋体"/>
                <w:color w:val="000000"/>
                <w:sz w:val="21"/>
              </w:rPr>
              <w:t>响应</w:t>
            </w:r>
            <w:r>
              <w:rPr>
                <w:rFonts w:ascii="宋体" w:hAnsi="宋体" w:cs="宋体" w:eastAsia="宋体"/>
                <w:color w:val="000000"/>
                <w:sz w:val="21"/>
              </w:rPr>
              <w:t>文件开始接收时间：</w:t>
            </w:r>
            <w:r>
              <w:rPr>
                <w:rFonts w:ascii="宋体" w:hAnsi="宋体" w:cs="宋体" w:eastAsia="宋体"/>
                <w:color w:val="000000"/>
                <w:sz w:val="21"/>
                <w:u w:val="single"/>
              </w:rPr>
              <w:t>2025年12月09日 13时30分</w:t>
            </w:r>
            <w:r>
              <w:rPr>
                <w:rFonts w:ascii="宋体" w:hAnsi="宋体" w:cs="宋体" w:eastAsia="宋体"/>
                <w:color w:val="000000"/>
                <w:sz w:val="21"/>
              </w:rPr>
              <w:t>（北京时间）</w:t>
            </w:r>
          </w:p>
          <w:p>
            <w:pPr>
              <w:wordWrap w:val="off"/>
              <w:spacing w:before="0" w:after="0" w:lineRule="exact" w:line="315"/>
              <w:jc w:val="left"/>
            </w:pPr>
            <w:r>
              <w:rPr>
                <w:rFonts w:ascii="宋体" w:hAnsi="宋体" w:cs="宋体" w:eastAsia="宋体"/>
                <w:color w:val="000000"/>
                <w:sz w:val="21"/>
              </w:rPr>
              <w:t>响应</w:t>
            </w:r>
            <w:r>
              <w:rPr>
                <w:rFonts w:ascii="宋体" w:hAnsi="宋体" w:cs="宋体" w:eastAsia="宋体"/>
                <w:color w:val="000000"/>
                <w:sz w:val="21"/>
              </w:rPr>
              <w:t>文件接收截止时间：</w:t>
            </w:r>
            <w:r>
              <w:rPr>
                <w:rFonts w:ascii="宋体" w:hAnsi="宋体" w:cs="宋体" w:eastAsia="宋体"/>
                <w:color w:val="000000"/>
                <w:sz w:val="21"/>
                <w:u w:val="single"/>
              </w:rPr>
              <w:t>2025年12月09日 14时30分</w:t>
            </w:r>
            <w:r>
              <w:rPr>
                <w:rFonts w:ascii="宋体" w:hAnsi="宋体" w:cs="宋体" w:eastAsia="宋体"/>
                <w:color w:val="000000"/>
                <w:sz w:val="21"/>
              </w:rPr>
              <w:t>（北京时间）</w:t>
            </w:r>
          </w:p>
          <w:p>
            <w:pPr>
              <w:wordWrap w:val="off"/>
              <w:spacing w:before="0" w:after="0" w:lineRule="exact" w:line="315"/>
              <w:jc w:val="left"/>
            </w:pPr>
            <w:r>
              <w:rPr>
                <w:rFonts w:ascii="宋体" w:hAnsi="宋体" w:cs="宋体" w:eastAsia="宋体"/>
                <w:color w:val="000000"/>
                <w:sz w:val="21"/>
              </w:rPr>
              <w:t>响应</w:t>
            </w:r>
            <w:r>
              <w:rPr>
                <w:rFonts w:ascii="宋体" w:hAnsi="宋体" w:cs="宋体" w:eastAsia="宋体"/>
                <w:color w:val="000000"/>
                <w:sz w:val="21"/>
              </w:rPr>
              <w:t>文件接收地点：</w:t>
            </w:r>
            <w:r>
              <w:rPr>
                <w:rFonts w:ascii="宋体" w:hAnsi="宋体" w:cs="宋体" w:eastAsia="宋体"/>
                <w:color w:val="000000"/>
                <w:sz w:val="21"/>
                <w:u w:val="single"/>
              </w:rPr>
              <w:t>高新区学府路99号苏州科技大学行政楼3308开标室</w:t>
            </w:r>
          </w:p>
        </w:tc>
      </w:tr>
      <w:tr>
        <w:trPr>
          <w:trHeight w:val="690"/>
        </w:trPr>
        <w:tc>
          <w:tcPr>
            <w:tcW w:type="dxa" w:w="63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Courier New" w:hAnsi="Courier New" w:cs="Courier New" w:eastAsia="Courier New"/>
                <w:color w:val="000000"/>
                <w:sz w:val="21"/>
              </w:rPr>
              <w:t>11</w:t>
            </w:r>
          </w:p>
        </w:tc>
        <w:tc>
          <w:tcPr>
            <w:tcW w:type="dxa" w:w="1635"/>
            <w:tcBorders>
              <w:top w:val="single" w:sz="6"/>
              <w:left w:val="single" w:sz="6"/>
              <w:bottom w:val="nil"/>
              <w:right w:val="nil"/>
            </w:tcBorders>
            <w:tcMar>
              <w:top w:w="20" w:type="dxa"/>
              <w:left w:w="20" w:type="dxa"/>
              <w:bottom w:w="20" w:type="dxa"/>
              <w:right w:w="20" w:type="dxa"/>
            </w:tcMar>
            <w:vAlign w:val="center"/>
          </w:tcPr>
          <w:p>
            <w:pPr>
              <w:wordWrap w:val="off"/>
              <w:spacing w:lineRule="exact" w:line="315"/>
              <w:jc w:val="center"/>
            </w:pPr>
            <w:r>
              <w:rPr>
                <w:rFonts w:ascii="宋体" w:hAnsi="宋体" w:cs="宋体" w:eastAsia="宋体"/>
                <w:color w:val="000000"/>
                <w:sz w:val="21"/>
              </w:rPr>
              <w:t>开启</w:t>
            </w:r>
            <w:r>
              <w:rPr>
                <w:rFonts w:ascii="宋体" w:hAnsi="宋体" w:cs="宋体" w:eastAsia="宋体"/>
                <w:color w:val="000000"/>
                <w:sz w:val="21"/>
              </w:rPr>
              <w:t>时间</w:t>
            </w:r>
          </w:p>
          <w:p>
            <w:pPr>
              <w:wordWrap w:val="off"/>
              <w:spacing w:before="0" w:after="0" w:lineRule="exact" w:line="315"/>
              <w:jc w:val="center"/>
            </w:pPr>
            <w:r>
              <w:rPr>
                <w:rFonts w:ascii="宋体" w:hAnsi="宋体" w:cs="宋体" w:eastAsia="宋体"/>
                <w:color w:val="000000"/>
                <w:sz w:val="21"/>
              </w:rPr>
              <w:t>开启</w:t>
            </w:r>
            <w:r>
              <w:rPr>
                <w:rFonts w:ascii="宋体" w:hAnsi="宋体" w:cs="宋体" w:eastAsia="宋体"/>
                <w:color w:val="000000"/>
                <w:sz w:val="21"/>
              </w:rPr>
              <w:t>地点</w:t>
            </w:r>
          </w:p>
        </w:tc>
        <w:tc>
          <w:tcPr>
            <w:tcW w:type="dxa" w:w="7335"/>
            <w:tcBorders>
              <w:top w:val="single" w:sz="6"/>
              <w:left w:val="single" w:sz="6"/>
              <w:bottom w:val="nil"/>
              <w:right w:val="single" w:sz="6"/>
            </w:tcBorders>
            <w:tcMar>
              <w:top w:w="20" w:type="dxa"/>
              <w:left w:w="20" w:type="dxa"/>
              <w:bottom w:w="20" w:type="dxa"/>
              <w:right w:w="20" w:type="dxa"/>
            </w:tcMar>
            <w:vAlign w:val="center"/>
          </w:tcPr>
          <w:p>
            <w:pPr>
              <w:wordWrap w:val="off"/>
              <w:spacing w:lineRule="exact" w:line="315"/>
              <w:jc w:val="left"/>
            </w:pPr>
            <w:r>
              <w:rPr>
                <w:rFonts w:ascii="宋体" w:hAnsi="宋体" w:cs="宋体" w:eastAsia="宋体"/>
                <w:color w:val="000000"/>
                <w:sz w:val="21"/>
              </w:rPr>
              <w:t>开启</w:t>
            </w:r>
            <w:r>
              <w:rPr>
                <w:rFonts w:ascii="宋体" w:hAnsi="宋体" w:cs="宋体" w:eastAsia="宋体"/>
                <w:color w:val="000000"/>
                <w:sz w:val="21"/>
              </w:rPr>
              <w:t>时间：</w:t>
            </w:r>
            <w:r>
              <w:rPr>
                <w:rFonts w:ascii="宋体" w:hAnsi="宋体" w:cs="宋体" w:eastAsia="宋体"/>
                <w:color w:val="000000"/>
                <w:sz w:val="21"/>
                <w:u w:val="single"/>
              </w:rPr>
              <w:t>2025年12月09日 14时30分</w:t>
            </w:r>
            <w:r>
              <w:rPr>
                <w:rFonts w:ascii="宋体" w:hAnsi="宋体" w:cs="宋体" w:eastAsia="宋体"/>
                <w:color w:val="000000"/>
                <w:sz w:val="21"/>
              </w:rPr>
              <w:t>（北京时间）</w:t>
            </w:r>
          </w:p>
          <w:p>
            <w:pPr>
              <w:wordWrap w:val="off"/>
              <w:spacing w:before="0" w:after="0" w:lineRule="exact" w:line="315"/>
              <w:jc w:val="left"/>
            </w:pPr>
            <w:r>
              <w:rPr>
                <w:rFonts w:ascii="宋体" w:hAnsi="宋体" w:cs="宋体" w:eastAsia="宋体"/>
                <w:color w:val="000000"/>
                <w:sz w:val="21"/>
              </w:rPr>
              <w:t>地点：</w:t>
            </w:r>
            <w:r>
              <w:rPr>
                <w:rFonts w:ascii="宋体" w:hAnsi="宋体" w:cs="宋体" w:eastAsia="宋体"/>
                <w:color w:val="000000"/>
                <w:sz w:val="21"/>
                <w:u w:val="single"/>
              </w:rPr>
              <w:t>高新区学府路99号苏州科技大学行政楼3308开标室</w:t>
            </w:r>
          </w:p>
        </w:tc>
      </w:tr>
      <w:tr>
        <w:trPr>
          <w:trHeight w:val="390"/>
        </w:trPr>
        <w:tc>
          <w:tcPr>
            <w:tcW w:type="dxa" w:w="63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Courier New" w:hAnsi="Courier New" w:cs="Courier New" w:eastAsia="Courier New"/>
                <w:color w:val="000000"/>
                <w:sz w:val="21"/>
              </w:rPr>
              <w:t>12</w:t>
            </w:r>
          </w:p>
        </w:tc>
        <w:tc>
          <w:tcPr>
            <w:tcW w:type="dxa" w:w="1635"/>
            <w:tcBorders>
              <w:top w:val="single" w:sz="6"/>
              <w:left w:val="single" w:sz="6"/>
              <w:bottom w:val="nil"/>
              <w:right w:val="nil"/>
            </w:tcBorders>
            <w:tcMar>
              <w:top w:w="20" w:type="dxa"/>
              <w:left w:w="20" w:type="dxa"/>
              <w:bottom w:w="20" w:type="dxa"/>
              <w:right w:w="20" w:type="dxa"/>
            </w:tcMar>
            <w:vAlign w:val="center"/>
          </w:tcPr>
          <w:p>
            <w:pPr>
              <w:wordWrap w:val="off"/>
              <w:spacing w:lineRule="exact" w:line="315"/>
              <w:jc w:val="center"/>
            </w:pPr>
            <w:r>
              <w:rPr>
                <w:rFonts w:ascii="宋体" w:hAnsi="宋体" w:cs="宋体" w:eastAsia="宋体"/>
                <w:color w:val="000000"/>
                <w:sz w:val="21"/>
              </w:rPr>
              <w:t>项目预算</w:t>
            </w:r>
          </w:p>
        </w:tc>
        <w:tc>
          <w:tcPr>
            <w:tcW w:type="dxa" w:w="7335"/>
            <w:tcBorders>
              <w:top w:val="single" w:sz="6"/>
              <w:left w:val="single" w:sz="6"/>
              <w:bottom w:val="nil"/>
              <w:right w:val="single" w:sz="6"/>
            </w:tcBorders>
            <w:tcMar>
              <w:top w:w="20" w:type="dxa"/>
              <w:left w:w="20" w:type="dxa"/>
              <w:bottom w:w="20" w:type="dxa"/>
              <w:right w:w="20" w:type="dxa"/>
            </w:tcMar>
            <w:vAlign w:val="center"/>
          </w:tcPr>
          <w:p>
            <w:pPr>
              <w:wordWrap w:val="off"/>
              <w:spacing w:lineRule="exact" w:line="315"/>
              <w:jc w:val="left"/>
            </w:pPr>
            <w:r>
              <w:rPr>
                <w:rFonts w:ascii="宋体" w:hAnsi="宋体" w:cs="宋体" w:eastAsia="宋体"/>
                <w:color w:val="000000"/>
                <w:sz w:val="21"/>
              </w:rPr>
              <w:t>预算金额：</w:t>
            </w:r>
            <w:r>
              <w:rPr>
                <w:rFonts w:ascii="宋体" w:hAnsi="宋体" w:cs="宋体" w:eastAsia="宋体"/>
                <w:color w:val="000000"/>
                <w:sz w:val="21"/>
              </w:rPr>
              <w:t>35.00</w:t>
            </w:r>
            <w:r>
              <w:rPr>
                <w:rFonts w:ascii="宋体" w:hAnsi="宋体" w:cs="宋体" w:eastAsia="宋体"/>
                <w:color w:val="000000"/>
                <w:sz w:val="21"/>
              </w:rPr>
              <w:t>万元</w:t>
            </w:r>
          </w:p>
        </w:tc>
      </w:tr>
      <w:tr>
        <w:trPr>
          <w:trHeight w:val="390"/>
        </w:trPr>
        <w:tc>
          <w:tcPr>
            <w:tcW w:type="dxa" w:w="63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Courier New" w:hAnsi="Courier New" w:cs="Courier New" w:eastAsia="Courier New"/>
                <w:color w:val="000000"/>
                <w:sz w:val="21"/>
              </w:rPr>
              <w:t>13</w:t>
            </w:r>
          </w:p>
        </w:tc>
        <w:tc>
          <w:tcPr>
            <w:tcW w:type="dxa" w:w="1635"/>
            <w:tcBorders>
              <w:top w:val="single" w:sz="6"/>
              <w:left w:val="single" w:sz="6"/>
              <w:bottom w:val="nil"/>
              <w:right w:val="nil"/>
            </w:tcBorders>
            <w:tcMar>
              <w:top w:w="20" w:type="dxa"/>
              <w:left w:w="20" w:type="dxa"/>
              <w:bottom w:w="20" w:type="dxa"/>
              <w:right w:w="20" w:type="dxa"/>
            </w:tcMar>
            <w:vAlign w:val="center"/>
          </w:tcPr>
          <w:p>
            <w:pPr>
              <w:wordWrap w:val="off"/>
              <w:spacing w:lineRule="exact" w:line="315"/>
              <w:jc w:val="center"/>
            </w:pPr>
            <w:r>
              <w:rPr>
                <w:rFonts w:ascii="宋体" w:hAnsi="宋体" w:cs="宋体" w:eastAsia="宋体"/>
                <w:color w:val="000000"/>
                <w:sz w:val="21"/>
              </w:rPr>
              <w:t>最高限价</w:t>
            </w:r>
          </w:p>
        </w:tc>
        <w:tc>
          <w:tcPr>
            <w:tcW w:type="dxa" w:w="7335"/>
            <w:tcBorders>
              <w:top w:val="single" w:sz="6"/>
              <w:left w:val="single" w:sz="6"/>
              <w:bottom w:val="nil"/>
              <w:right w:val="single" w:sz="6"/>
            </w:tcBorders>
            <w:tcMar>
              <w:top w:w="20" w:type="dxa"/>
              <w:left w:w="20" w:type="dxa"/>
              <w:bottom w:w="20" w:type="dxa"/>
              <w:right w:w="20" w:type="dxa"/>
            </w:tcMar>
            <w:vAlign w:val="center"/>
          </w:tcPr>
          <w:p>
            <w:pPr>
              <w:wordWrap w:val="off"/>
              <w:spacing w:lineRule="exact" w:line="315"/>
              <w:jc w:val="left"/>
            </w:pPr>
            <w:r>
              <w:rPr>
                <w:rFonts w:ascii="宋体" w:hAnsi="宋体" w:cs="宋体" w:eastAsia="宋体"/>
                <w:color w:val="000000"/>
                <w:sz w:val="21"/>
              </w:rPr>
              <w:t>35.00万元</w:t>
            </w:r>
          </w:p>
        </w:tc>
      </w:tr>
      <w:tr>
        <w:trPr>
          <w:trHeight w:val="390"/>
        </w:trPr>
        <w:tc>
          <w:tcPr>
            <w:tcW w:type="dxa" w:w="63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Courier New" w:hAnsi="Courier New" w:cs="Courier New" w:eastAsia="Courier New"/>
                <w:color w:val="000000"/>
                <w:sz w:val="21"/>
              </w:rPr>
              <w:t>14</w:t>
            </w:r>
          </w:p>
        </w:tc>
        <w:tc>
          <w:tcPr>
            <w:tcW w:type="dxa" w:w="1635"/>
            <w:tcBorders>
              <w:top w:val="single" w:sz="6"/>
              <w:left w:val="single" w:sz="6"/>
              <w:bottom w:val="nil"/>
              <w:right w:val="nil"/>
            </w:tcBorders>
            <w:tcMar>
              <w:top w:w="20" w:type="dxa"/>
              <w:left w:w="20" w:type="dxa"/>
              <w:bottom w:w="20" w:type="dxa"/>
              <w:right w:w="20" w:type="dxa"/>
            </w:tcMar>
            <w:vAlign w:val="center"/>
          </w:tcPr>
          <w:p>
            <w:pPr>
              <w:wordWrap w:val="off"/>
              <w:spacing w:lineRule="exact" w:line="315"/>
              <w:jc w:val="center"/>
            </w:pPr>
            <w:r>
              <w:rPr>
                <w:rFonts w:ascii="宋体" w:hAnsi="宋体" w:cs="宋体" w:eastAsia="宋体"/>
                <w:color w:val="000000"/>
                <w:sz w:val="21"/>
              </w:rPr>
              <w:t>磋商响应</w:t>
            </w:r>
            <w:r>
              <w:rPr>
                <w:rFonts w:ascii="宋体" w:hAnsi="宋体" w:cs="宋体" w:eastAsia="宋体"/>
                <w:color w:val="000000"/>
                <w:sz w:val="21"/>
              </w:rPr>
              <w:t>报价本位币</w:t>
            </w:r>
          </w:p>
        </w:tc>
        <w:tc>
          <w:tcPr>
            <w:tcW w:type="dxa" w:w="7335"/>
            <w:tcBorders>
              <w:top w:val="single" w:sz="6"/>
              <w:left w:val="single" w:sz="6"/>
              <w:bottom w:val="nil"/>
              <w:right w:val="single" w:sz="6"/>
            </w:tcBorders>
            <w:tcMar>
              <w:top w:w="20" w:type="dxa"/>
              <w:left w:w="20" w:type="dxa"/>
              <w:bottom w:w="20" w:type="dxa"/>
              <w:right w:w="20" w:type="dxa"/>
            </w:tcMar>
            <w:vAlign w:val="center"/>
          </w:tcPr>
          <w:p>
            <w:pPr>
              <w:wordWrap w:val="off"/>
              <w:spacing w:lineRule="exact" w:line="315"/>
              <w:jc w:val="left"/>
            </w:pPr>
            <w:r>
              <w:rPr>
                <w:rFonts w:ascii="宋体" w:hAnsi="宋体" w:cs="宋体" w:eastAsia="宋体"/>
                <w:color w:val="000000"/>
                <w:sz w:val="21"/>
              </w:rPr>
              <w:t>人民币</w:t>
            </w:r>
          </w:p>
        </w:tc>
      </w:tr>
      <w:tr>
        <w:trPr>
          <w:trHeight w:val="390"/>
        </w:trPr>
        <w:tc>
          <w:tcPr>
            <w:tcW w:type="dxa" w:w="63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Courier New" w:hAnsi="Courier New" w:cs="Courier New" w:eastAsia="Courier New"/>
                <w:color w:val="000000"/>
                <w:sz w:val="21"/>
              </w:rPr>
              <w:t>15</w:t>
            </w:r>
          </w:p>
        </w:tc>
        <w:tc>
          <w:tcPr>
            <w:tcW w:type="dxa" w:w="1635"/>
            <w:tcBorders>
              <w:top w:val="single" w:sz="6"/>
              <w:left w:val="single" w:sz="6"/>
              <w:bottom w:val="nil"/>
              <w:right w:val="nil"/>
            </w:tcBorders>
            <w:tcMar>
              <w:top w:w="20" w:type="dxa"/>
              <w:left w:w="20" w:type="dxa"/>
              <w:bottom w:w="20" w:type="dxa"/>
              <w:right w:w="20" w:type="dxa"/>
            </w:tcMar>
            <w:vAlign w:val="center"/>
          </w:tcPr>
          <w:p>
            <w:pPr>
              <w:wordWrap w:val="off"/>
              <w:spacing w:lineRule="exact" w:line="315"/>
              <w:jc w:val="center"/>
            </w:pPr>
            <w:r>
              <w:rPr>
                <w:rFonts w:ascii="宋体" w:hAnsi="宋体" w:cs="宋体" w:eastAsia="宋体"/>
                <w:color w:val="000000"/>
                <w:sz w:val="21"/>
              </w:rPr>
              <w:t>评审</w:t>
            </w:r>
            <w:r>
              <w:rPr>
                <w:rFonts w:ascii="宋体" w:hAnsi="宋体" w:cs="宋体" w:eastAsia="宋体"/>
                <w:color w:val="000000"/>
                <w:sz w:val="21"/>
              </w:rPr>
              <w:t>办法</w:t>
            </w:r>
          </w:p>
        </w:tc>
        <w:tc>
          <w:tcPr>
            <w:tcW w:type="dxa" w:w="7335"/>
            <w:tcBorders>
              <w:top w:val="single" w:sz="6"/>
              <w:left w:val="single" w:sz="6"/>
              <w:bottom w:val="nil"/>
              <w:right w:val="single" w:sz="6"/>
            </w:tcBorders>
            <w:tcMar>
              <w:top w:w="20" w:type="dxa"/>
              <w:left w:w="20" w:type="dxa"/>
              <w:bottom w:w="20" w:type="dxa"/>
              <w:right w:w="20" w:type="dxa"/>
            </w:tcMar>
            <w:vAlign w:val="center"/>
          </w:tcPr>
          <w:p>
            <w:pPr>
              <w:wordWrap w:val="off"/>
              <w:spacing w:lineRule="exact" w:line="315"/>
              <w:jc w:val="left"/>
            </w:pPr>
            <w:r>
              <w:rPr>
                <w:rFonts w:ascii="宋体" w:hAnsi="宋体" w:cs="宋体" w:eastAsia="宋体"/>
                <w:color w:val="000000"/>
                <w:sz w:val="21"/>
              </w:rPr>
              <w:t>详见第四章</w:t>
            </w:r>
          </w:p>
        </w:tc>
      </w:tr>
      <w:tr>
        <w:trPr>
          <w:trHeight w:val="495"/>
        </w:trPr>
        <w:tc>
          <w:tcPr>
            <w:tcW w:type="dxa" w:w="63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Courier New" w:hAnsi="Courier New" w:cs="Courier New" w:eastAsia="Courier New"/>
                <w:color w:val="000000"/>
                <w:sz w:val="21"/>
              </w:rPr>
              <w:t>16</w:t>
            </w:r>
          </w:p>
        </w:tc>
        <w:tc>
          <w:tcPr>
            <w:tcW w:type="dxa" w:w="1635"/>
            <w:tcBorders>
              <w:top w:val="single" w:sz="6"/>
              <w:left w:val="single" w:sz="6"/>
              <w:bottom w:val="nil"/>
              <w:right w:val="nil"/>
            </w:tcBorders>
            <w:tcMar>
              <w:top w:w="20" w:type="dxa"/>
              <w:left w:w="20" w:type="dxa"/>
              <w:bottom w:w="20" w:type="dxa"/>
              <w:right w:w="20" w:type="dxa"/>
            </w:tcMar>
            <w:vAlign w:val="center"/>
          </w:tcPr>
          <w:p>
            <w:pPr>
              <w:wordWrap w:val="off"/>
              <w:spacing w:lineRule="exact" w:line="315"/>
              <w:jc w:val="center"/>
            </w:pPr>
            <w:r>
              <w:rPr>
                <w:rFonts w:ascii="宋体" w:hAnsi="宋体" w:cs="宋体" w:eastAsia="宋体"/>
                <w:color w:val="000000"/>
                <w:sz w:val="21"/>
              </w:rPr>
              <w:t>磋商</w:t>
            </w:r>
            <w:r>
              <w:rPr>
                <w:rFonts w:ascii="宋体" w:hAnsi="宋体" w:cs="宋体" w:eastAsia="宋体"/>
                <w:color w:val="000000"/>
                <w:sz w:val="21"/>
              </w:rPr>
              <w:t>小组与供应商的</w:t>
            </w:r>
            <w:r>
              <w:rPr>
                <w:rFonts w:ascii="宋体" w:hAnsi="宋体" w:cs="宋体" w:eastAsia="宋体"/>
                <w:color w:val="000000"/>
                <w:sz w:val="21"/>
              </w:rPr>
              <w:t>磋商</w:t>
            </w:r>
            <w:r>
              <w:rPr>
                <w:rFonts w:ascii="宋体" w:hAnsi="宋体" w:cs="宋体" w:eastAsia="宋体"/>
                <w:color w:val="000000"/>
                <w:sz w:val="21"/>
              </w:rPr>
              <w:t>轮数</w:t>
            </w:r>
          </w:p>
        </w:tc>
        <w:tc>
          <w:tcPr>
            <w:tcW w:type="dxa" w:w="7335"/>
            <w:tcBorders>
              <w:top w:val="single" w:sz="6"/>
              <w:left w:val="single" w:sz="6"/>
              <w:bottom w:val="nil"/>
              <w:right w:val="single" w:sz="6"/>
            </w:tcBorders>
            <w:tcMar>
              <w:top w:w="20" w:type="dxa"/>
              <w:left w:w="20" w:type="dxa"/>
              <w:bottom w:w="20" w:type="dxa"/>
              <w:right w:w="20" w:type="dxa"/>
            </w:tcMar>
            <w:vAlign w:val="center"/>
          </w:tcPr>
          <w:p>
            <w:pPr>
              <w:wordWrap w:val="off"/>
              <w:spacing w:lineRule="exact" w:line="315"/>
              <w:ind w:firstLineChars="50"/>
              <w:jc w:val="left"/>
            </w:pPr>
            <w:r>
              <w:rPr>
                <w:rFonts w:ascii="宋体" w:hAnsi="宋体" w:cs="宋体" w:eastAsia="宋体"/>
                <w:color w:val="000000"/>
                <w:sz w:val="21"/>
              </w:rPr>
              <w:t>二轮（可根据</w:t>
            </w:r>
            <w:r>
              <w:rPr>
                <w:rFonts w:ascii="宋体" w:hAnsi="宋体" w:cs="宋体" w:eastAsia="宋体"/>
                <w:color w:val="000000"/>
                <w:sz w:val="21"/>
              </w:rPr>
              <w:t>磋商</w:t>
            </w:r>
            <w:r>
              <w:rPr>
                <w:rFonts w:ascii="宋体" w:hAnsi="宋体" w:cs="宋体" w:eastAsia="宋体"/>
                <w:color w:val="000000"/>
                <w:sz w:val="21"/>
              </w:rPr>
              <w:t>的实际情况调整）</w:t>
            </w:r>
          </w:p>
        </w:tc>
      </w:tr>
      <w:tr>
        <w:trPr>
          <w:trHeight w:val="90" w:hRule="exact"/>
        </w:trPr>
        <w:tc>
          <w:tcPr>
            <w:tcW w:type="dxa" w:w="630"/>
            <w:tcBorders>
              <w:top w:val="single" w:sz="6"/>
              <w:left w:val="nil"/>
              <w:bottom w:val="nil"/>
              <w:right w:val="nil"/>
            </w:tcBorders>
            <w:tcMar>
              <w:top w:w="20" w:type="dxa"/>
              <w:left w:w="20" w:type="dxa"/>
              <w:bottom w:w="20" w:type="dxa"/>
              <w:right w:w="20" w:type="dxa"/>
            </w:tcMar>
            <w:vAlign w:val="center"/>
          </w:tcPr>
          <w:p>
            <w:pPr>
              <w:wordWrap w:val="off"/>
            </w:pPr>
          </w:p>
        </w:tc>
        <w:tc>
          <w:tcPr>
            <w:tcW w:type="dxa" w:w="1635"/>
            <w:tcBorders>
              <w:top w:val="single" w:sz="6"/>
              <w:left w:val="nil"/>
              <w:bottom w:val="nil"/>
              <w:right w:val="nil"/>
            </w:tcBorders>
            <w:tcMar>
              <w:top w:w="20" w:type="dxa"/>
              <w:left w:w="20" w:type="dxa"/>
              <w:bottom w:w="20" w:type="dxa"/>
              <w:right w:w="20" w:type="dxa"/>
            </w:tcMar>
            <w:vAlign w:val="center"/>
          </w:tcPr>
          <w:p>
            <w:pPr>
              <w:wordWrap w:val="off"/>
            </w:pPr>
          </w:p>
        </w:tc>
        <w:tc>
          <w:tcPr>
            <w:tcW w:type="dxa" w:w="7335"/>
            <w:tcBorders>
              <w:top w:val="single" w:sz="6"/>
              <w:left w:val="nil"/>
              <w:bottom w:val="nil"/>
              <w:right w:val="nil"/>
            </w:tcBorders>
            <w:tcMar>
              <w:top w:w="20" w:type="dxa"/>
              <w:left w:w="20" w:type="dxa"/>
              <w:bottom w:w="20" w:type="dxa"/>
              <w:right w:w="20" w:type="dxa"/>
            </w:tcMar>
            <w:vAlign w:val="center"/>
          </w:tcPr>
          <w:p>
            <w:pPr>
              <w:wordWrap w:val="off"/>
            </w:pPr>
          </w:p>
        </w:tc>
      </w:tr>
    </w:tbl>
    <w:p>
      <w:pPr>
        <w:spacing w:before="0" w:after="0" w:lineRule="exact" w:line="90"/>
      </w:pPr>
    </w:p>
    <w:p>
      <w:pPr>
        <w:wordWrap w:val="off"/>
        <w:spacing w:lineRule="exact" w:line="378"/>
        <w:jc w:val="left"/>
      </w:pPr>
    </w:p>
    <w:p>
      <w:pPr>
        <w:sectPr>
          <w:pgSz w:w="11907" w:h="16839" w:orient="portrait"/>
          <w:pgMar w:top="1077" w:right="1154" w:bottom="1077" w:left="1154"/>
        </w:sectPr>
      </w:pPr>
    </w:p>
    <w:p>
      <w:pPr>
        <w:wordWrap w:val="off"/>
        <w:spacing w:lineRule="exact" w:line="576"/>
        <w:ind w:firstLineChars="100"/>
        <w:jc w:val="left"/>
        <w:outlineLvl w:val="1"/>
      </w:pPr>
      <w:r>
        <w:rPr>
          <w:rFonts w:ascii="宋体" w:hAnsi="宋体" w:cs="宋体" w:eastAsia="宋体"/>
          <w:b w:val="true"/>
          <w:color w:val="000000"/>
          <w:sz w:val="32"/>
        </w:rPr>
        <w:t/>
      </w:r>
      <w:r>
        <w:rPr>
          <w:rFonts w:ascii="宋体" w:hAnsi="宋体" w:cs="宋体" w:eastAsia="宋体"/>
          <w:b w:val="true"/>
          <w:color w:val="000000"/>
          <w:sz w:val="32"/>
        </w:rPr>
        <w:t>一</w:t>
      </w:r>
      <w:r>
        <w:rPr>
          <w:rFonts w:ascii="宋体" w:hAnsi="宋体" w:cs="宋体" w:eastAsia="宋体"/>
          <w:b w:val="true"/>
          <w:color w:val="000000"/>
          <w:sz w:val="32"/>
        </w:rPr>
        <w:t>、总则</w:t>
      </w:r>
    </w:p>
    <w:p>
      <w:pPr>
        <w:wordWrap w:val="off"/>
        <w:spacing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1</w:t>
      </w:r>
      <w:r>
        <w:rPr>
          <w:rFonts w:ascii="黑体" w:hAnsi="黑体" w:cs="黑体" w:eastAsia="黑体"/>
          <w:color w:val="000000"/>
          <w:sz w:val="28"/>
        </w:rPr>
        <w:t>、采购方式</w:t>
      </w:r>
    </w:p>
    <w:p>
      <w:pPr>
        <w:wordWrap w:val="off"/>
        <w:spacing w:lineRule="exact" w:line="378"/>
        <w:ind w:firstLineChars="200"/>
        <w:jc w:val="left"/>
      </w:pPr>
      <w:r>
        <w:rPr>
          <w:rFonts w:ascii="宋体" w:hAnsi="宋体" w:cs="宋体" w:eastAsia="宋体"/>
          <w:color w:val="000000"/>
          <w:sz w:val="21"/>
        </w:rPr>
        <w:t>1.1 本次采购采取</w:t>
      </w:r>
      <w:r>
        <w:rPr>
          <w:rFonts w:ascii="宋体" w:hAnsi="宋体" w:cs="宋体" w:eastAsia="宋体"/>
          <w:color w:val="000000"/>
          <w:sz w:val="21"/>
        </w:rPr>
        <w:t>竞争性磋商</w:t>
      </w:r>
      <w:r>
        <w:rPr>
          <w:rFonts w:ascii="宋体" w:hAnsi="宋体" w:cs="宋体" w:eastAsia="宋体"/>
          <w:color w:val="000000"/>
          <w:sz w:val="21"/>
        </w:rPr>
        <w:t>方式，本竞争性磋商文件仅适用于采购公告中所述项目。</w:t>
      </w:r>
    </w:p>
    <w:p>
      <w:pPr>
        <w:wordWrap w:val="off"/>
        <w:spacing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2</w:t>
      </w:r>
      <w:r>
        <w:rPr>
          <w:rFonts w:ascii="黑体" w:hAnsi="黑体" w:cs="黑体" w:eastAsia="黑体"/>
          <w:color w:val="000000"/>
          <w:sz w:val="28"/>
        </w:rPr>
        <w:t>、合格的供应商</w:t>
      </w:r>
    </w:p>
    <w:p>
      <w:pPr>
        <w:wordWrap w:val="off"/>
        <w:spacing w:lineRule="exact" w:line="378"/>
        <w:ind w:firstLineChars="200"/>
        <w:jc w:val="left"/>
      </w:pPr>
      <w:r>
        <w:rPr>
          <w:rFonts w:ascii="宋体" w:hAnsi="宋体" w:cs="宋体" w:eastAsia="宋体"/>
          <w:color w:val="000000"/>
          <w:sz w:val="21"/>
        </w:rPr>
        <w:t>2.1 满足采购公告中供应商的资格要求的规定。</w:t>
      </w:r>
    </w:p>
    <w:p>
      <w:pPr>
        <w:wordWrap w:val="off"/>
        <w:spacing w:before="0" w:after="0" w:lineRule="exact" w:line="378"/>
        <w:ind w:firstLineChars="200"/>
        <w:jc w:val="left"/>
      </w:pPr>
      <w:r>
        <w:rPr>
          <w:rFonts w:ascii="宋体" w:hAnsi="宋体" w:cs="宋体" w:eastAsia="宋体"/>
          <w:color w:val="000000"/>
          <w:sz w:val="21"/>
        </w:rPr>
        <w:t>2.2 满足本文件实质性条款的规定。</w:t>
      </w:r>
    </w:p>
    <w:p>
      <w:pPr>
        <w:wordWrap w:val="off"/>
        <w:spacing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3</w:t>
      </w:r>
      <w:r>
        <w:rPr>
          <w:rFonts w:ascii="黑体" w:hAnsi="黑体" w:cs="黑体" w:eastAsia="黑体"/>
          <w:color w:val="000000"/>
          <w:sz w:val="28"/>
        </w:rPr>
        <w:t>、适用法律</w:t>
      </w:r>
    </w:p>
    <w:p>
      <w:pPr>
        <w:wordWrap w:val="off"/>
        <w:spacing w:lineRule="exact" w:line="378"/>
        <w:ind w:firstLineChars="200"/>
        <w:jc w:val="left"/>
      </w:pPr>
      <w:r>
        <w:rPr>
          <w:rFonts w:ascii="宋体" w:hAnsi="宋体" w:cs="宋体" w:eastAsia="宋体"/>
          <w:color w:val="000000"/>
          <w:sz w:val="21"/>
        </w:rPr>
        <w:t xml:space="preserve">3.1 </w:t>
      </w:r>
      <w:r>
        <w:rPr>
          <w:rFonts w:ascii="宋体" w:hAnsi="宋体" w:cs="宋体" w:eastAsia="宋体"/>
          <w:color w:val="000000"/>
          <w:sz w:val="21"/>
        </w:rPr>
        <w:t>《中华人民共和国政府采购法》、《中华人民共和国政府采购法实施条例》、《政府采购竞争性磋商采购方式管理暂行办法》等有关法律、规章和规定等。</w:t>
      </w:r>
    </w:p>
    <w:p>
      <w:pPr>
        <w:wordWrap w:val="off"/>
        <w:spacing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4</w:t>
      </w:r>
      <w:r>
        <w:rPr>
          <w:rFonts w:ascii="黑体" w:hAnsi="黑体" w:cs="黑体" w:eastAsia="黑体"/>
          <w:color w:val="000000"/>
          <w:sz w:val="28"/>
        </w:rPr>
        <w:t>、政策功能</w:t>
      </w:r>
    </w:p>
    <w:p>
      <w:pPr>
        <w:wordWrap w:val="off"/>
        <w:spacing w:lineRule="exact" w:line="378"/>
        <w:ind w:firstLineChars="200"/>
        <w:jc w:val="left"/>
      </w:pPr>
      <w:r>
        <w:rPr>
          <w:rFonts w:ascii="宋体" w:hAnsi="宋体" w:cs="宋体" w:eastAsia="宋体"/>
          <w:color w:val="000000"/>
          <w:sz w:val="21"/>
        </w:rPr>
        <w:t/>
      </w:r>
      <w:r>
        <w:rPr>
          <w:rFonts w:ascii="宋体" w:hAnsi="宋体" w:cs="宋体" w:eastAsia="宋体"/>
          <w:color w:val="000000"/>
          <w:sz w:val="21"/>
        </w:rPr>
        <w:t>4.1</w:t>
      </w:r>
      <w:r>
        <w:rPr>
          <w:rFonts w:ascii="宋体" w:hAnsi="宋体" w:cs="宋体" w:eastAsia="宋体"/>
          <w:color w:val="000000"/>
          <w:sz w:val="21"/>
        </w:rPr>
        <w:t xml:space="preserve"> 中小企业政策</w:t>
      </w:r>
    </w:p>
    <w:p>
      <w:pPr>
        <w:wordWrap w:val="off"/>
        <w:spacing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（1）中小企业（含中型、小型、微型企业）应当符合《政府采购促进中小企业发展管理办法》（财库﹝2020﹞46 号）第二条、《关于政府采购支持监狱企业发展有关问题的通知》（财库〔2014〕68 号）第一条或《关于促进残疾人就业政府采购政策的通知》（财库〔2017〕141 号）第一条的规定。</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（2）本项目是专门面向中小企业或小型、微型企业的项目，只面向中小企业或小型、微型企业采购。</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（3）参加政府采购活动的中小企业应当提供《中小企业声明函》、由省级以上监狱管理局戒毒管理局(含新疆生产建设兵团)出具的属于监狱企业的证明文件或《残疾人福利性单位声明函》。</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（4）中小企业依据《政府采购促进中小企业发展管理办法》（财库﹝2020﹞46 号）规定的政策获取政府采购合同后，小型、微型企业不得分包或转包给大型、中型企业，中型企业不得分包或转包给大型企业。</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（5）组成联合体的大中型企业和其他自然人、法人或者其他组织，与小型、微型企业之间不得存在投资关系；</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（6）未按要求提供相关材料的，不享受相关政策。</w:t>
      </w:r>
    </w:p>
    <w:p>
      <w:pPr>
        <w:spacing w:before="0" w:after="0" w:lineRule="exact" w:line="120"/>
      </w:pPr>
    </w:p>
    <w:p>
      <w:pPr>
        <w:wordWrap w:val="off"/>
        <w:spacing w:lineRule="exact" w:line="378"/>
        <w:ind w:firstLineChars="200"/>
        <w:jc w:val="left"/>
      </w:pPr>
      <w:r>
        <w:rPr>
          <w:rFonts w:ascii="宋体" w:hAnsi="宋体" w:cs="宋体" w:eastAsia="宋体"/>
          <w:color w:val="000000"/>
          <w:sz w:val="21"/>
        </w:rPr>
        <w:t/>
      </w:r>
      <w:r>
        <w:rPr>
          <w:rFonts w:ascii="宋体" w:hAnsi="宋体" w:cs="宋体" w:eastAsia="宋体"/>
          <w:color w:val="000000"/>
          <w:sz w:val="21"/>
        </w:rPr>
        <w:t>4.2</w:t>
      </w:r>
      <w:r>
        <w:rPr>
          <w:rFonts w:ascii="宋体" w:hAnsi="宋体" w:cs="宋体" w:eastAsia="宋体"/>
          <w:color w:val="000000"/>
          <w:sz w:val="21"/>
        </w:rPr>
        <w:t xml:space="preserve"> 节能产品政策</w:t>
      </w:r>
    </w:p>
    <w:p>
      <w:pPr>
        <w:wordWrap w:val="off"/>
        <w:spacing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（1）拟采购产品属于节能产品政府采购清单规定必须强制采购的，实行强制采购。</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（2）拟采购产品属于节能产品政府采购清单规定优先采购的，在技术、服务等指标同等条件下，实行优先采购，优先采购的要求详见第三章评标标准说明内容。</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（3）参加政府采购活动的节能产品供应商应当提供产品在《节能产品政府采购清单》中相应的页面。</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（4）未按要求提供相关材料的，不享受相关政策。</w:t>
      </w:r>
    </w:p>
    <w:p>
      <w:pPr>
        <w:spacing w:before="0" w:after="0" w:lineRule="exact" w:line="120"/>
      </w:pPr>
    </w:p>
    <w:p>
      <w:pPr>
        <w:wordWrap w:val="off"/>
        <w:spacing w:lineRule="exact" w:line="378"/>
        <w:ind w:firstLineChars="200"/>
        <w:jc w:val="left"/>
      </w:pPr>
      <w:r>
        <w:rPr>
          <w:rFonts w:ascii="宋体" w:hAnsi="宋体" w:cs="宋体" w:eastAsia="宋体"/>
          <w:color w:val="000000"/>
          <w:sz w:val="21"/>
        </w:rPr>
        <w:t/>
      </w:r>
      <w:r>
        <w:rPr>
          <w:rFonts w:ascii="宋体" w:hAnsi="宋体" w:cs="宋体" w:eastAsia="宋体"/>
          <w:color w:val="000000"/>
          <w:sz w:val="21"/>
        </w:rPr>
        <w:t>4.3</w:t>
      </w:r>
      <w:r>
        <w:rPr>
          <w:rFonts w:ascii="宋体" w:hAnsi="宋体" w:cs="宋体" w:eastAsia="宋体"/>
          <w:color w:val="000000"/>
          <w:sz w:val="21"/>
        </w:rPr>
        <w:t xml:space="preserve"> 环境标志产品政策</w:t>
      </w:r>
    </w:p>
    <w:p>
      <w:pPr>
        <w:wordWrap w:val="off"/>
        <w:spacing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（1）拟采购产品属于环境标志产品政府采购清单规定优先采购的，在性能、技术、服务等指标同等条件下，实行优先采购，优先采购的要求详见第三章评标标准说明内容。</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（2）参加政府采购活动的环境标志产品应当提供产品在《环境标志产品政府采购清单》中相应的页面。</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（3）未按要求提供相关材料的，不享受相关政策。</w:t>
      </w:r>
    </w:p>
    <w:p>
      <w:pPr>
        <w:spacing w:before="0" w:after="0" w:lineRule="exact" w:line="120"/>
      </w:pPr>
    </w:p>
    <w:p>
      <w:pPr>
        <w:wordWrap w:val="off"/>
        <w:spacing w:lineRule="exact" w:line="378"/>
        <w:ind w:firstLineChars="200"/>
        <w:jc w:val="left"/>
      </w:pPr>
      <w:r>
        <w:rPr>
          <w:rFonts w:ascii="宋体" w:hAnsi="宋体" w:cs="宋体" w:eastAsia="宋体"/>
          <w:color w:val="000000"/>
          <w:sz w:val="21"/>
        </w:rPr>
        <w:t/>
      </w:r>
      <w:r>
        <w:rPr>
          <w:rFonts w:ascii="宋体" w:hAnsi="宋体" w:cs="宋体" w:eastAsia="宋体"/>
          <w:color w:val="000000"/>
          <w:sz w:val="21"/>
        </w:rPr>
        <w:t>4.4</w:t>
      </w:r>
      <w:r>
        <w:rPr>
          <w:rFonts w:ascii="宋体" w:hAnsi="宋体" w:cs="宋体" w:eastAsia="宋体"/>
          <w:color w:val="000000"/>
          <w:sz w:val="21"/>
        </w:rPr>
        <w:t xml:space="preserve"> 进口产品政策</w:t>
      </w:r>
    </w:p>
    <w:p>
      <w:pPr>
        <w:wordWrap w:val="off"/>
        <w:spacing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（1）除第一章投标邀请另有规定外，不允许进口产品参加。进口产品认定依照《财政部关于政府采购进口产品管理有关问题的通知》（财办库〔2008〕248 号）的规定。</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（2）允许进口产品参加的，满足需求的国内产品可以参加。</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（3）允许进口产品参加的，优先采购向我国企业转让技术、与我国企业签订消化吸收再创新方案的供应商的进口产品。</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（4）未按要求提供相关材料的，不享受相关政策。</w:t>
      </w:r>
    </w:p>
    <w:p>
      <w:pPr>
        <w:wordWrap w:val="off"/>
        <w:spacing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5</w:t>
      </w:r>
      <w:r>
        <w:rPr>
          <w:rFonts w:ascii="黑体" w:hAnsi="黑体" w:cs="黑体" w:eastAsia="黑体"/>
          <w:color w:val="000000"/>
          <w:sz w:val="28"/>
        </w:rPr>
        <w:t>、参加磋商费用</w:t>
      </w:r>
    </w:p>
    <w:p>
      <w:pPr>
        <w:wordWrap w:val="off"/>
        <w:spacing w:lineRule="exact" w:line="378"/>
        <w:ind w:firstLineChars="200"/>
        <w:jc w:val="left"/>
      </w:pPr>
      <w:r>
        <w:rPr>
          <w:rFonts w:ascii="宋体" w:hAnsi="宋体" w:cs="宋体" w:eastAsia="宋体"/>
          <w:color w:val="000000"/>
          <w:sz w:val="21"/>
        </w:rPr>
        <w:t>5.1 供应商应自行承担所有参与响应有关费用，无论磋商过程中的做法和结果如何，采购人在任何情况下均无义务和责任承担这些费用。</w:t>
      </w:r>
    </w:p>
    <w:p>
      <w:pPr>
        <w:wordWrap w:val="off"/>
        <w:spacing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6</w:t>
      </w:r>
      <w:r>
        <w:rPr>
          <w:rFonts w:ascii="黑体" w:hAnsi="黑体" w:cs="黑体" w:eastAsia="黑体"/>
          <w:color w:val="000000"/>
          <w:sz w:val="28"/>
        </w:rPr>
        <w:t>、竞争性磋商文件的约束力</w:t>
      </w:r>
    </w:p>
    <w:p>
      <w:pPr>
        <w:wordWrap w:val="off"/>
        <w:spacing w:lineRule="exact" w:line="378"/>
        <w:ind w:firstLineChars="200"/>
        <w:jc w:val="left"/>
      </w:pPr>
      <w:r>
        <w:rPr>
          <w:rFonts w:ascii="宋体" w:hAnsi="宋体" w:cs="宋体" w:eastAsia="宋体"/>
          <w:color w:val="000000"/>
          <w:sz w:val="21"/>
        </w:rPr>
        <w:t>6.1 供应商一旦参加本项目采购活动，即被认为接受了本竞争性磋商文件的规定和约束，并且视为自竞争性磋商公告期限届满之日起已经知道或应当知道自身权益是否受到了损害。</w:t>
      </w:r>
    </w:p>
    <w:p>
      <w:pPr>
        <w:wordWrap w:val="off"/>
        <w:spacing w:lineRule="exact" w:line="576"/>
        <w:ind w:firstLineChars="100"/>
        <w:jc w:val="left"/>
        <w:outlineLvl w:val="1"/>
      </w:pPr>
      <w:r>
        <w:rPr>
          <w:rFonts w:ascii="宋体" w:hAnsi="宋体" w:cs="宋体" w:eastAsia="宋体"/>
          <w:b w:val="true"/>
          <w:color w:val="000000"/>
          <w:sz w:val="32"/>
        </w:rPr>
        <w:t/>
      </w:r>
      <w:r>
        <w:rPr>
          <w:rFonts w:ascii="宋体" w:hAnsi="宋体" w:cs="宋体" w:eastAsia="宋体"/>
          <w:b w:val="true"/>
          <w:color w:val="000000"/>
          <w:sz w:val="32"/>
        </w:rPr>
        <w:t>二</w:t>
      </w:r>
      <w:r>
        <w:rPr>
          <w:rFonts w:ascii="宋体" w:hAnsi="宋体" w:cs="宋体" w:eastAsia="宋体"/>
          <w:b w:val="true"/>
          <w:color w:val="000000"/>
          <w:sz w:val="32"/>
        </w:rPr>
        <w:t>、竞争性磋商文件</w:t>
      </w:r>
    </w:p>
    <w:p>
      <w:pPr>
        <w:wordWrap w:val="off"/>
        <w:spacing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7</w:t>
      </w:r>
      <w:r>
        <w:rPr>
          <w:rFonts w:ascii="黑体" w:hAnsi="黑体" w:cs="黑体" w:eastAsia="黑体"/>
          <w:color w:val="000000"/>
          <w:sz w:val="28"/>
        </w:rPr>
        <w:t>、竞争性磋商文件的构成</w:t>
      </w:r>
    </w:p>
    <w:p>
      <w:pPr>
        <w:wordWrap w:val="off"/>
        <w:spacing w:lineRule="exact" w:line="378"/>
        <w:ind w:firstLineChars="200"/>
        <w:jc w:val="left"/>
      </w:pPr>
      <w:r>
        <w:rPr>
          <w:rFonts w:ascii="宋体" w:hAnsi="宋体" w:cs="宋体" w:eastAsia="宋体"/>
          <w:color w:val="000000"/>
          <w:sz w:val="21"/>
        </w:rPr>
        <w:t>7.1 竞争性磋商文件有以下部分组成：</w:t>
      </w:r>
    </w:p>
    <w:p>
      <w:pPr>
        <w:wordWrap w:val="off"/>
        <w:spacing w:before="0" w:after="0" w:lineRule="exact" w:line="378"/>
        <w:ind w:firstLineChars="200"/>
        <w:jc w:val="left"/>
      </w:pPr>
      <w:r>
        <w:rPr>
          <w:rFonts w:ascii="宋体" w:hAnsi="宋体" w:cs="宋体" w:eastAsia="宋体"/>
          <w:color w:val="000000"/>
          <w:sz w:val="21"/>
        </w:rPr>
        <w:t>（1）竞争性磋商公告</w:t>
      </w:r>
    </w:p>
    <w:p>
      <w:pPr>
        <w:wordWrap w:val="off"/>
        <w:spacing w:before="0" w:after="0" w:lineRule="exact" w:line="378"/>
        <w:ind w:firstLineChars="200"/>
        <w:jc w:val="left"/>
      </w:pPr>
      <w:r>
        <w:rPr>
          <w:rFonts w:ascii="宋体" w:hAnsi="宋体" w:cs="宋体" w:eastAsia="宋体"/>
          <w:color w:val="000000"/>
          <w:sz w:val="21"/>
        </w:rPr>
        <w:t>（2）供应商须知</w:t>
      </w:r>
    </w:p>
    <w:p>
      <w:pPr>
        <w:wordWrap w:val="off"/>
        <w:spacing w:before="0" w:after="0" w:lineRule="exact" w:line="378"/>
        <w:ind w:firstLineChars="200"/>
        <w:jc w:val="left"/>
      </w:pPr>
      <w:r>
        <w:rPr>
          <w:rFonts w:ascii="宋体" w:hAnsi="宋体" w:cs="宋体" w:eastAsia="宋体"/>
          <w:color w:val="000000"/>
          <w:sz w:val="21"/>
        </w:rPr>
        <w:t>（3）项目需求</w:t>
      </w:r>
    </w:p>
    <w:p>
      <w:pPr>
        <w:wordWrap w:val="off"/>
        <w:spacing w:before="0" w:after="0" w:lineRule="exact" w:line="378"/>
        <w:ind w:firstLineChars="200"/>
        <w:jc w:val="left"/>
      </w:pPr>
      <w:r>
        <w:rPr>
          <w:rFonts w:ascii="宋体" w:hAnsi="宋体" w:cs="宋体" w:eastAsia="宋体"/>
          <w:color w:val="000000"/>
          <w:sz w:val="21"/>
        </w:rPr>
        <w:t>（4）成交标准</w:t>
      </w:r>
    </w:p>
    <w:p>
      <w:pPr>
        <w:wordWrap w:val="off"/>
        <w:spacing w:before="0" w:after="0" w:lineRule="exact" w:line="378"/>
        <w:ind w:firstLineChars="200"/>
        <w:jc w:val="left"/>
      </w:pPr>
      <w:r>
        <w:rPr>
          <w:rFonts w:ascii="宋体" w:hAnsi="宋体" w:cs="宋体" w:eastAsia="宋体"/>
          <w:color w:val="000000"/>
          <w:sz w:val="21"/>
        </w:rPr>
        <w:t>（5）合同文本</w:t>
      </w:r>
    </w:p>
    <w:p>
      <w:pPr>
        <w:wordWrap w:val="off"/>
        <w:spacing w:before="0" w:after="0" w:lineRule="exact" w:line="378"/>
        <w:ind w:firstLineChars="200"/>
        <w:jc w:val="left"/>
      </w:pPr>
      <w:r>
        <w:rPr>
          <w:rFonts w:ascii="宋体" w:hAnsi="宋体" w:cs="宋体" w:eastAsia="宋体"/>
          <w:color w:val="000000"/>
          <w:sz w:val="21"/>
        </w:rPr>
        <w:t>（6）响应文件格式及附件</w:t>
      </w:r>
    </w:p>
    <w:p>
      <w:pPr>
        <w:wordWrap w:val="off"/>
        <w:spacing w:before="0" w:after="0" w:lineRule="exact" w:line="378"/>
        <w:ind w:firstLineChars="200"/>
        <w:jc w:val="left"/>
      </w:pPr>
      <w:r>
        <w:rPr>
          <w:rFonts w:ascii="宋体" w:hAnsi="宋体" w:cs="宋体" w:eastAsia="宋体"/>
          <w:color w:val="000000"/>
          <w:sz w:val="21"/>
        </w:rPr>
        <w:t>7.2 供应商应认真阅读竞争性磋商文件中所有的事项、格式、条款和规范等要求。按竞争性磋商文件要求和规定编制响应文件，并保证所提供的全部资料的真实性，以使其响应文件对竞争性磋商文件做出实质性响应，否则其风险由供应商自行承担。</w:t>
      </w:r>
    </w:p>
    <w:p>
      <w:pPr>
        <w:wordWrap w:val="off"/>
        <w:spacing w:before="0" w:after="0" w:lineRule="exact" w:line="378"/>
        <w:ind w:firstLineChars="200"/>
        <w:jc w:val="left"/>
      </w:pPr>
      <w:r>
        <w:rPr>
          <w:rFonts w:ascii="宋体" w:hAnsi="宋体" w:cs="宋体" w:eastAsia="宋体"/>
          <w:color w:val="000000"/>
          <w:sz w:val="21"/>
        </w:rPr>
        <w:t>7.3 供应商被视为熟悉项目所在地以及履行合同的有关情况，包括涉及本项目的法律、法规、行业规定，以及自然环境、气候条件、公共设施等，本竞争性磋商文件不再对此进行描述。</w:t>
      </w:r>
    </w:p>
    <w:p>
      <w:pPr>
        <w:wordWrap w:val="off"/>
        <w:spacing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8</w:t>
      </w:r>
      <w:r>
        <w:rPr>
          <w:rFonts w:ascii="黑体" w:hAnsi="黑体" w:cs="黑体" w:eastAsia="黑体"/>
          <w:color w:val="000000"/>
          <w:sz w:val="28"/>
        </w:rPr>
        <w:t>、竞争性磋商文件的澄清及修改</w:t>
      </w:r>
    </w:p>
    <w:p>
      <w:pPr>
        <w:wordWrap w:val="off"/>
        <w:spacing w:lineRule="exact" w:line="378"/>
        <w:ind w:firstLineChars="200"/>
        <w:jc w:val="left"/>
      </w:pPr>
      <w:r>
        <w:rPr>
          <w:rFonts w:ascii="宋体" w:hAnsi="宋体" w:cs="宋体" w:eastAsia="宋体"/>
          <w:color w:val="000000"/>
          <w:sz w:val="21"/>
        </w:rPr>
        <w:t>8.1 任何要求对竞争性磋商文件进行澄清的供应商，均应在提交首次响应文件截止时间五日前按竞争性磋商公告中的通讯地址，以书面形式通知采购人。提交首次响应文件截止之日前，采购人可以对已发出的磋商文件进行必要的澄清或者修改，澄清或者修改的内容作为磋商文件的组成部分。澄清或者修改的内容可能影响响应文件编制的，采购人将在提交首次响应文件截止时间至少5日前，在网上发布书面更正公告形式通知所有获取磋商文件的供应商。不足5日的，采购人应当顺延提交首次响应文件截止时间。</w:t>
      </w:r>
    </w:p>
    <w:p>
      <w:pPr>
        <w:wordWrap w:val="off"/>
        <w:spacing w:before="0" w:after="0" w:lineRule="exact" w:line="378"/>
        <w:ind w:firstLineChars="200"/>
        <w:jc w:val="left"/>
      </w:pPr>
      <w:r>
        <w:rPr>
          <w:rFonts w:ascii="宋体" w:hAnsi="宋体" w:cs="宋体" w:eastAsia="宋体"/>
          <w:color w:val="000000"/>
          <w:sz w:val="21"/>
        </w:rPr>
        <w:t>8.2 采购人可以视采购项目的具体情况，组织供应商进行现场考察或召开磋商前答疑会，但不单独或分别组织只有一个供应商参加的现场考察和答疑会。</w:t>
      </w:r>
    </w:p>
    <w:p>
      <w:pPr>
        <w:wordWrap w:val="off"/>
        <w:spacing w:lineRule="exact" w:line="576"/>
        <w:ind w:firstLineChars="100"/>
        <w:jc w:val="left"/>
        <w:outlineLvl w:val="1"/>
      </w:pPr>
      <w:r>
        <w:rPr>
          <w:rFonts w:ascii="宋体" w:hAnsi="宋体" w:cs="宋体" w:eastAsia="宋体"/>
          <w:b w:val="true"/>
          <w:color w:val="000000"/>
          <w:sz w:val="32"/>
        </w:rPr>
        <w:t/>
      </w:r>
      <w:r>
        <w:rPr>
          <w:rFonts w:ascii="宋体" w:hAnsi="宋体" w:cs="宋体" w:eastAsia="宋体"/>
          <w:b w:val="true"/>
          <w:color w:val="000000"/>
          <w:sz w:val="32"/>
        </w:rPr>
        <w:t>三</w:t>
      </w:r>
      <w:r>
        <w:rPr>
          <w:rFonts w:ascii="宋体" w:hAnsi="宋体" w:cs="宋体" w:eastAsia="宋体"/>
          <w:b w:val="true"/>
          <w:color w:val="000000"/>
          <w:sz w:val="32"/>
        </w:rPr>
        <w:t>、响应文件的编制</w:t>
      </w:r>
    </w:p>
    <w:p>
      <w:pPr>
        <w:wordWrap w:val="off"/>
        <w:spacing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9</w:t>
      </w:r>
      <w:r>
        <w:rPr>
          <w:rFonts w:ascii="黑体" w:hAnsi="黑体" w:cs="黑体" w:eastAsia="黑体"/>
          <w:color w:val="000000"/>
          <w:sz w:val="28"/>
        </w:rPr>
        <w:t>、响应文件的语言及度量衡单位</w:t>
      </w:r>
    </w:p>
    <w:p>
      <w:pPr>
        <w:wordWrap w:val="off"/>
        <w:spacing w:lineRule="exact" w:line="378"/>
        <w:ind w:firstLineChars="200"/>
        <w:jc w:val="left"/>
      </w:pPr>
      <w:r>
        <w:rPr>
          <w:rFonts w:ascii="宋体" w:hAnsi="宋体" w:cs="宋体" w:eastAsia="宋体"/>
          <w:color w:val="000000"/>
          <w:sz w:val="21"/>
        </w:rPr>
        <w:t>9.1 供应商提交的响应文件以及供应商与采购人就有关磋商的所有来往通知、函件和文件均应使用简体中文。</w:t>
      </w:r>
    </w:p>
    <w:p>
      <w:pPr>
        <w:wordWrap w:val="off"/>
        <w:spacing w:before="0" w:after="0" w:lineRule="exact" w:line="378"/>
        <w:ind w:firstLineChars="200"/>
        <w:jc w:val="left"/>
      </w:pPr>
      <w:r>
        <w:rPr>
          <w:rFonts w:ascii="宋体" w:hAnsi="宋体" w:cs="宋体" w:eastAsia="宋体"/>
          <w:color w:val="000000"/>
          <w:sz w:val="21"/>
        </w:rPr>
        <w:t>9.2 除技术性能另有规定外，响应文件所使用的度量衡单位，均须采用国家法定计量单位。</w:t>
      </w:r>
    </w:p>
    <w:p>
      <w:pPr>
        <w:wordWrap w:val="off"/>
        <w:spacing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10</w:t>
      </w:r>
      <w:r>
        <w:rPr>
          <w:rFonts w:ascii="黑体" w:hAnsi="黑体" w:cs="黑体" w:eastAsia="黑体"/>
          <w:color w:val="000000"/>
          <w:sz w:val="28"/>
        </w:rPr>
        <w:t>、响应文件的构成</w:t>
      </w:r>
    </w:p>
    <w:p>
      <w:pPr>
        <w:wordWrap w:val="off"/>
        <w:spacing w:lineRule="exact" w:line="378"/>
        <w:ind w:firstLineChars="200"/>
        <w:jc w:val="left"/>
      </w:pPr>
      <w:r>
        <w:rPr>
          <w:rFonts w:ascii="宋体" w:hAnsi="宋体" w:cs="宋体" w:eastAsia="宋体"/>
          <w:color w:val="000000"/>
          <w:sz w:val="21"/>
        </w:rPr>
        <w:t>供应商应按竞争性磋商文件规定的内容和格式编制并提交响应文件，响应文件应包括：</w:t>
      </w:r>
    </w:p>
    <w:p>
      <w:pPr>
        <w:wordWrap w:val="off"/>
        <w:spacing w:lineRule="exact" w:line="378"/>
        <w:ind w:firstLineChars="200"/>
        <w:jc w:val="left"/>
      </w:pPr>
      <w:r>
        <w:rPr>
          <w:rFonts w:ascii="宋体" w:hAnsi="宋体" w:cs="宋体" w:eastAsia="宋体"/>
          <w:b w:val="true"/>
          <w:color w:val="000000"/>
          <w:sz w:val="21"/>
        </w:rPr>
        <w:t/>
      </w:r>
      <w:r>
        <w:rPr>
          <w:rFonts w:ascii="宋体" w:hAnsi="宋体" w:cs="宋体" w:eastAsia="宋体"/>
          <w:b w:val="true"/>
          <w:color w:val="000000"/>
          <w:sz w:val="21"/>
        </w:rPr>
        <w:t>10.1</w:t>
      </w:r>
      <w:r>
        <w:rPr>
          <w:rFonts w:ascii="宋体" w:hAnsi="宋体" w:cs="宋体" w:eastAsia="宋体"/>
          <w:b w:val="true"/>
          <w:color w:val="000000"/>
          <w:sz w:val="21"/>
        </w:rPr>
        <w:t xml:space="preserve"> 响应文件一（报价及相关部分）</w:t>
      </w:r>
    </w:p>
    <w:p>
      <w:pPr>
        <w:wordWrap w:val="off"/>
        <w:spacing w:lineRule="exact" w:line="378"/>
        <w:ind w:firstLineChars="200"/>
        <w:jc w:val="left"/>
      </w:pPr>
      <w:r>
        <w:rPr>
          <w:rFonts w:ascii="宋体" w:hAnsi="宋体" w:cs="宋体" w:eastAsia="宋体"/>
          <w:b w:val="true"/>
          <w:color w:val="000000"/>
          <w:sz w:val="21"/>
        </w:rPr>
        <w:t>包括下列文件，其中加※项目不得有缺失或无效。</w:t>
      </w:r>
    </w:p>
    <w:p>
      <w:pPr>
        <w:wordWrap w:val="off"/>
        <w:spacing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10.1.1   法人代表授权书（如有授权）（格式见附件）</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10.1.2 ※竞争性磋商函（格式见附件）</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10.1.3 ※报价表（格式见附件）；</w:t>
      </w:r>
    </w:p>
    <w:p>
      <w:pPr>
        <w:wordWrap w:val="off"/>
        <w:spacing w:lineRule="exact" w:line="378"/>
        <w:ind w:firstLineChars="200"/>
        <w:jc w:val="left"/>
      </w:pPr>
      <w:r>
        <w:rPr>
          <w:rFonts w:ascii="宋体" w:hAnsi="宋体" w:cs="宋体" w:eastAsia="宋体"/>
          <w:b w:val="true"/>
          <w:color w:val="000000"/>
          <w:sz w:val="21"/>
        </w:rPr>
        <w:t/>
      </w:r>
      <w:r>
        <w:rPr>
          <w:rFonts w:ascii="宋体" w:hAnsi="宋体" w:cs="宋体" w:eastAsia="宋体"/>
          <w:b w:val="true"/>
          <w:color w:val="000000"/>
          <w:sz w:val="21"/>
        </w:rPr>
        <w:t>10.2</w:t>
      </w:r>
      <w:r>
        <w:rPr>
          <w:rFonts w:ascii="宋体" w:hAnsi="宋体" w:cs="宋体" w:eastAsia="宋体"/>
          <w:b w:val="true"/>
          <w:color w:val="000000"/>
          <w:sz w:val="21"/>
        </w:rPr>
        <w:t xml:space="preserve"> 响应文件二（资格证明文件及技术服务方案部分）</w:t>
      </w:r>
    </w:p>
    <w:p>
      <w:pPr>
        <w:wordWrap w:val="off"/>
        <w:spacing w:lineRule="exact" w:line="378"/>
        <w:ind w:firstLineChars="200"/>
        <w:jc w:val="left"/>
      </w:pPr>
      <w:r>
        <w:rPr>
          <w:rFonts w:ascii="宋体" w:hAnsi="宋体" w:cs="宋体" w:eastAsia="宋体"/>
          <w:b w:val="true"/>
          <w:color w:val="000000"/>
          <w:sz w:val="21"/>
        </w:rPr>
        <w:t>包括但不限于下列文件，其中加※项目不得有缺失或无效。</w:t>
      </w:r>
    </w:p>
    <w:p>
      <w:pPr>
        <w:wordWrap w:val="off"/>
        <w:spacing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10.2.1 ※供应商资格条件证明文件（见附件：资格证明材料）；</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10.2.2 ※商务条款响应及偏离表；</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10.2.3 ※技术条款响应及偏离表；</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10.2.4 ※</w:t>
      </w:r>
      <w:r>
        <w:rPr>
          <w:rFonts w:ascii="宋体" w:hAnsi="宋体" w:cs="宋体" w:eastAsia="宋体"/>
          <w:color w:val="000000"/>
          <w:sz w:val="21"/>
        </w:rPr>
        <w:t>技术方案</w:t>
      </w:r>
      <w:r>
        <w:rPr>
          <w:rFonts w:ascii="宋体" w:hAnsi="宋体" w:cs="宋体" w:eastAsia="宋体"/>
          <w:color w:val="000000"/>
          <w:sz w:val="21"/>
        </w:rPr>
        <w:t>；</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10.2.5 ※</w:t>
      </w:r>
      <w:r>
        <w:rPr>
          <w:rFonts w:ascii="宋体" w:hAnsi="宋体" w:cs="宋体" w:eastAsia="宋体"/>
          <w:color w:val="000000"/>
          <w:sz w:val="21"/>
        </w:rPr>
        <w:t>服务方案</w:t>
      </w:r>
      <w:r>
        <w:rPr>
          <w:rFonts w:ascii="宋体" w:hAnsi="宋体" w:cs="宋体" w:eastAsia="宋体"/>
          <w:color w:val="000000"/>
          <w:sz w:val="21"/>
        </w:rPr>
        <w:t>；</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10.2.6   中小企业、残疾人福利性单位、监狱企业声明资料（如属）</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10.2.7   供应商认为需要提供的其他技术文件或资料等。</w:t>
      </w:r>
    </w:p>
    <w:p>
      <w:pPr>
        <w:wordWrap w:val="off"/>
        <w:spacing w:lineRule="exact" w:line="378"/>
        <w:ind w:firstLineChars="150"/>
        <w:jc w:val="left"/>
      </w:pPr>
      <w:r>
        <w:rPr>
          <w:rFonts w:ascii="宋体" w:hAnsi="宋体" w:cs="宋体" w:eastAsia="宋体"/>
          <w:b w:val="true"/>
          <w:color w:val="000000"/>
          <w:sz w:val="21"/>
        </w:rPr>
        <w:t>10.3 响应文件编制说明</w:t>
      </w:r>
    </w:p>
    <w:p>
      <w:pPr>
        <w:wordWrap w:val="off"/>
        <w:spacing w:lineRule="exact" w:line="378"/>
        <w:ind w:firstLineChars="200"/>
        <w:jc w:val="left"/>
      </w:pPr>
      <w:r>
        <w:rPr>
          <w:rFonts w:ascii="宋体" w:hAnsi="宋体" w:cs="宋体" w:eastAsia="宋体"/>
          <w:color w:val="000000"/>
          <w:sz w:val="21"/>
        </w:rPr>
        <w:t>10.3.1 响应文件按统一格式、顺序编写，响应文件一（报价部分）、响应文件二（技术及相关资格证明文件部分）应单独装订成册。</w:t>
      </w:r>
    </w:p>
    <w:p>
      <w:pPr>
        <w:wordWrap w:val="off"/>
        <w:spacing w:before="0" w:after="0" w:lineRule="exact" w:line="378"/>
        <w:ind w:firstLineChars="200"/>
        <w:jc w:val="left"/>
      </w:pPr>
      <w:r>
        <w:rPr>
          <w:rFonts w:ascii="宋体" w:hAnsi="宋体" w:cs="宋体" w:eastAsia="宋体"/>
          <w:color w:val="000000"/>
          <w:sz w:val="21"/>
        </w:rPr>
        <w:t>10.3.2 报价表要求按格式填写，统一规范，不得自行增减内容。</w:t>
      </w:r>
    </w:p>
    <w:p>
      <w:pPr>
        <w:wordWrap w:val="off"/>
        <w:spacing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11</w:t>
      </w:r>
      <w:r>
        <w:rPr>
          <w:rFonts w:ascii="黑体" w:hAnsi="黑体" w:cs="黑体" w:eastAsia="黑体"/>
          <w:color w:val="000000"/>
          <w:sz w:val="28"/>
        </w:rPr>
        <w:t>、竞争性磋商报价</w:t>
      </w:r>
    </w:p>
    <w:p>
      <w:pPr>
        <w:wordWrap w:val="off"/>
        <w:spacing w:lineRule="exact" w:line="378"/>
        <w:ind w:firstLineChars="200"/>
        <w:jc w:val="left"/>
      </w:pPr>
      <w:r>
        <w:rPr>
          <w:rFonts w:ascii="宋体" w:hAnsi="宋体" w:cs="宋体" w:eastAsia="宋体"/>
          <w:color w:val="000000"/>
          <w:sz w:val="21"/>
        </w:rPr>
        <w:t>11.1 价格部分是对磋商价格构成的说明，响应文件如没有特别说明的话，对每一项产品仅接受一个价格。</w:t>
      </w:r>
    </w:p>
    <w:p>
      <w:pPr>
        <w:wordWrap w:val="off"/>
        <w:spacing w:before="0" w:after="0" w:lineRule="exact" w:line="378"/>
        <w:ind w:firstLineChars="200"/>
        <w:jc w:val="left"/>
      </w:pPr>
      <w:r>
        <w:rPr>
          <w:rFonts w:ascii="宋体" w:hAnsi="宋体" w:cs="宋体" w:eastAsia="宋体"/>
          <w:color w:val="000000"/>
          <w:sz w:val="21"/>
        </w:rPr>
        <w:t>11.2 报价应包含完成本项目发生的所有含税费用、支付给员工的工资和国家强制缴纳的各种社会保障资金，以及磋商响应供应商认为需要的其他费用等。</w:t>
      </w:r>
    </w:p>
    <w:p>
      <w:pPr>
        <w:wordWrap w:val="off"/>
        <w:spacing w:before="0" w:after="0" w:lineRule="exact" w:line="378"/>
        <w:ind w:firstLineChars="200"/>
        <w:jc w:val="left"/>
      </w:pPr>
      <w:r>
        <w:rPr>
          <w:rFonts w:ascii="宋体" w:hAnsi="宋体" w:cs="宋体" w:eastAsia="宋体"/>
          <w:color w:val="000000"/>
          <w:sz w:val="21"/>
        </w:rPr>
        <w:t>11.3 报价时应充分考虑所有可能影响到报价的因素，一旦竞争性磋商结束最终成交，如发生漏、缺、少项，都将被认为是成交人的报价让利行为，损失自负。磋商响应供应商的任何错漏、优惠、竞争性报价不得作为减轻责任、减少服务、增加收费、降低质量的理由。</w:t>
      </w:r>
    </w:p>
    <w:p>
      <w:pPr>
        <w:wordWrap w:val="off"/>
        <w:spacing w:before="0" w:after="0" w:lineRule="exact" w:line="378"/>
        <w:ind w:firstLineChars="200"/>
        <w:jc w:val="left"/>
      </w:pPr>
      <w:r>
        <w:rPr>
          <w:rFonts w:ascii="宋体" w:hAnsi="宋体" w:cs="宋体" w:eastAsia="宋体"/>
          <w:color w:val="000000"/>
          <w:sz w:val="21"/>
        </w:rPr>
        <w:t>11.4 磋商响应供应商应仔细阅读本竞争性磋商文件“项目需求”的内容，按要求一次性报出包括但不限于：货款、人工费、材料费、利润、税金、风险费用以及其它费用等的综合单价及总价，其他一切费用由磋商响应供应商自理；采购人不再另付其他任何费用。</w:t>
      </w:r>
    </w:p>
    <w:p>
      <w:pPr>
        <w:wordWrap w:val="off"/>
        <w:spacing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12</w:t>
      </w:r>
      <w:r>
        <w:rPr>
          <w:rFonts w:ascii="黑体" w:hAnsi="黑体" w:cs="黑体" w:eastAsia="黑体"/>
          <w:color w:val="000000"/>
          <w:sz w:val="28"/>
        </w:rPr>
        <w:t>、其它费用处理</w:t>
      </w:r>
    </w:p>
    <w:p>
      <w:pPr>
        <w:wordWrap w:val="off"/>
        <w:spacing w:lineRule="exact" w:line="378"/>
        <w:ind w:firstLineChars="200"/>
        <w:jc w:val="left"/>
      </w:pPr>
      <w:r>
        <w:rPr>
          <w:rFonts w:ascii="宋体" w:hAnsi="宋体" w:cs="宋体" w:eastAsia="宋体"/>
          <w:color w:val="000000"/>
          <w:sz w:val="21"/>
        </w:rPr>
        <w:t>12.1 竞争性磋商文件未列明，而供应商认为必需的费用也需列入报价。</w:t>
      </w:r>
    </w:p>
    <w:p>
      <w:pPr>
        <w:wordWrap w:val="off"/>
        <w:spacing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13</w:t>
      </w:r>
      <w:r>
        <w:rPr>
          <w:rFonts w:ascii="黑体" w:hAnsi="黑体" w:cs="黑体" w:eastAsia="黑体"/>
          <w:color w:val="000000"/>
          <w:sz w:val="28"/>
        </w:rPr>
        <w:t>、 磋商保证金</w:t>
      </w:r>
    </w:p>
    <w:p>
      <w:pPr>
        <w:wordWrap w:val="off"/>
        <w:spacing w:lineRule="exact" w:line="378"/>
        <w:ind w:firstLineChars="200"/>
        <w:jc w:val="left"/>
      </w:pPr>
      <w:r>
        <w:rPr>
          <w:rFonts w:ascii="宋体" w:hAnsi="宋体" w:cs="宋体" w:eastAsia="宋体"/>
          <w:color w:val="000000"/>
          <w:sz w:val="21"/>
        </w:rPr>
        <w:t>13.1 供应商应提供竞争性磋商文件中所规定的谈判保证金。</w:t>
      </w:r>
    </w:p>
    <w:p>
      <w:pPr>
        <w:wordWrap w:val="off"/>
        <w:spacing w:before="0" w:after="0" w:lineRule="exact" w:line="378"/>
        <w:ind w:firstLineChars="200"/>
        <w:jc w:val="left"/>
      </w:pPr>
      <w:r>
        <w:rPr>
          <w:rFonts w:ascii="宋体" w:hAnsi="宋体" w:cs="宋体" w:eastAsia="宋体"/>
          <w:color w:val="000000"/>
          <w:sz w:val="21"/>
        </w:rPr>
        <w:t>13.2 供应商必须于响应截止时间之前将磋商保证金按竞争性磋商文件规定的方式交纳。</w:t>
      </w:r>
    </w:p>
    <w:p>
      <w:pPr>
        <w:wordWrap w:val="off"/>
        <w:spacing w:before="0" w:after="0" w:lineRule="exact" w:line="378"/>
        <w:ind w:firstLineChars="200"/>
        <w:jc w:val="left"/>
      </w:pPr>
      <w:r>
        <w:rPr>
          <w:rFonts w:ascii="宋体" w:hAnsi="宋体" w:cs="宋体" w:eastAsia="宋体"/>
          <w:color w:val="000000"/>
          <w:sz w:val="21"/>
        </w:rPr>
        <w:t>13.3 未按要求提交磋商保证金的响应将被视为无效响应。</w:t>
      </w:r>
    </w:p>
    <w:p>
      <w:pPr>
        <w:wordWrap w:val="off"/>
        <w:spacing w:before="0" w:after="0" w:lineRule="exact" w:line="378"/>
        <w:ind w:firstLineChars="200"/>
        <w:jc w:val="left"/>
      </w:pPr>
      <w:r>
        <w:rPr>
          <w:rFonts w:ascii="宋体" w:hAnsi="宋体" w:cs="宋体" w:eastAsia="宋体"/>
          <w:color w:val="000000"/>
          <w:sz w:val="21"/>
        </w:rPr>
        <w:t xml:space="preserve">13.4 </w:t>
      </w:r>
      <w:r>
        <w:rPr>
          <w:rFonts w:ascii="宋体" w:hAnsi="宋体" w:cs="宋体" w:eastAsia="宋体"/>
          <w:b w:val="true"/>
          <w:color w:val="000000"/>
          <w:sz w:val="21"/>
        </w:rPr>
        <w:t>未成交的供应商的磋商保证金，将在成交通知书发出后7个工作日内，由采购人无息退还；成交供应商的磋商保证金，在与供应商签订的合同生效后7个工作日内无息退还。</w:t>
      </w:r>
    </w:p>
    <w:p>
      <w:pPr>
        <w:wordWrap w:val="off"/>
        <w:spacing w:before="0" w:after="0" w:lineRule="exact" w:line="378"/>
        <w:ind w:firstLineChars="200"/>
        <w:jc w:val="left"/>
      </w:pPr>
      <w:r>
        <w:rPr>
          <w:rFonts w:ascii="宋体" w:hAnsi="宋体" w:cs="宋体" w:eastAsia="宋体"/>
          <w:color w:val="000000"/>
          <w:sz w:val="21"/>
        </w:rPr>
        <w:t>13.5 发生下列情况之一，磋商保证金将被不予退回：</w:t>
      </w:r>
    </w:p>
    <w:p>
      <w:pPr>
        <w:wordWrap w:val="off"/>
        <w:spacing w:before="0" w:after="0" w:lineRule="exact" w:line="378"/>
        <w:ind w:firstLineChars="200"/>
        <w:jc w:val="left"/>
      </w:pPr>
      <w:r>
        <w:rPr>
          <w:rFonts w:ascii="宋体" w:hAnsi="宋体" w:cs="宋体" w:eastAsia="宋体"/>
          <w:color w:val="000000"/>
          <w:sz w:val="21"/>
        </w:rPr>
        <w:t>（1）开启后在响应有效期内，供应商撤回其响应文件的；</w:t>
      </w:r>
    </w:p>
    <w:p>
      <w:pPr>
        <w:wordWrap w:val="off"/>
        <w:spacing w:before="0" w:after="0" w:lineRule="exact" w:line="378"/>
        <w:ind w:firstLineChars="200"/>
        <w:jc w:val="left"/>
      </w:pPr>
      <w:r>
        <w:rPr>
          <w:rFonts w:ascii="宋体" w:hAnsi="宋体" w:cs="宋体" w:eastAsia="宋体"/>
          <w:color w:val="000000"/>
          <w:sz w:val="21"/>
        </w:rPr>
        <w:t>（2）成交供应商不按成交通知书时间签订合同或签订合同后不按本文件规定缴纳履约保证金的；</w:t>
      </w:r>
    </w:p>
    <w:p>
      <w:pPr>
        <w:wordWrap w:val="off"/>
        <w:spacing w:before="0" w:after="0" w:lineRule="exact" w:line="378"/>
        <w:ind w:firstLineChars="200"/>
        <w:jc w:val="left"/>
      </w:pPr>
      <w:r>
        <w:rPr>
          <w:rFonts w:ascii="宋体" w:hAnsi="宋体" w:cs="宋体" w:eastAsia="宋体"/>
          <w:color w:val="000000"/>
          <w:sz w:val="21"/>
        </w:rPr>
        <w:t>（3）成交供应商不按本文件规定缴付成交服务费的；</w:t>
      </w:r>
    </w:p>
    <w:p>
      <w:pPr>
        <w:wordWrap w:val="off"/>
        <w:spacing w:before="0" w:after="0" w:lineRule="exact" w:line="378"/>
        <w:ind w:firstLineChars="200"/>
        <w:jc w:val="left"/>
      </w:pPr>
      <w:r>
        <w:rPr>
          <w:rFonts w:ascii="宋体" w:hAnsi="宋体" w:cs="宋体" w:eastAsia="宋体"/>
          <w:color w:val="000000"/>
          <w:sz w:val="21"/>
        </w:rPr>
        <w:t>（4）成交供应商在响应过程中有违反有关法律法规行为的。</w:t>
      </w:r>
    </w:p>
    <w:p>
      <w:pPr>
        <w:wordWrap w:val="off"/>
        <w:spacing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14</w:t>
      </w:r>
      <w:r>
        <w:rPr>
          <w:rFonts w:ascii="黑体" w:hAnsi="黑体" w:cs="黑体" w:eastAsia="黑体"/>
          <w:color w:val="000000"/>
          <w:sz w:val="28"/>
        </w:rPr>
        <w:t>、 响应文件的有效期</w:t>
      </w:r>
    </w:p>
    <w:p>
      <w:pPr>
        <w:wordWrap w:val="off"/>
        <w:spacing w:lineRule="exact" w:line="378"/>
        <w:ind w:firstLineChars="200"/>
        <w:jc w:val="left"/>
      </w:pPr>
      <w:r>
        <w:rPr>
          <w:rFonts w:ascii="宋体" w:hAnsi="宋体" w:cs="宋体" w:eastAsia="宋体"/>
          <w:color w:val="000000"/>
          <w:sz w:val="21"/>
        </w:rPr>
        <w:t xml:space="preserve">14.1 </w:t>
      </w:r>
      <w:r>
        <w:rPr>
          <w:rFonts w:ascii="宋体" w:hAnsi="宋体" w:cs="宋体" w:eastAsia="宋体"/>
          <w:b w:val="true"/>
          <w:color w:val="000000"/>
          <w:sz w:val="21"/>
        </w:rPr>
        <w:t>自开标之日起</w:t>
      </w:r>
      <w:r>
        <w:rPr>
          <w:rFonts w:ascii="宋体" w:hAnsi="宋体" w:cs="宋体" w:eastAsia="宋体"/>
          <w:b w:val="true"/>
          <w:color w:val="000000"/>
          <w:sz w:val="21"/>
          <w:u w:val="single"/>
        </w:rPr>
        <w:t>60</w:t>
      </w:r>
      <w:r>
        <w:rPr>
          <w:rFonts w:ascii="宋体" w:hAnsi="宋体" w:cs="宋体" w:eastAsia="宋体"/>
          <w:b w:val="true"/>
          <w:color w:val="000000"/>
          <w:sz w:val="21"/>
        </w:rPr>
        <w:t>天内，响应文件应保持有效。</w:t>
      </w:r>
      <w:r>
        <w:rPr>
          <w:rFonts w:ascii="宋体" w:hAnsi="宋体" w:cs="宋体" w:eastAsia="宋体"/>
          <w:color w:val="000000"/>
          <w:sz w:val="21"/>
        </w:rPr>
        <w:t>有效期短于此规定的响应文件将视为无效。</w:t>
      </w:r>
    </w:p>
    <w:p>
      <w:pPr>
        <w:wordWrap w:val="off"/>
        <w:spacing w:before="0" w:after="0" w:lineRule="exact" w:line="378"/>
        <w:ind w:firstLineChars="200"/>
        <w:jc w:val="left"/>
      </w:pPr>
      <w:r>
        <w:rPr>
          <w:rFonts w:ascii="宋体" w:hAnsi="宋体" w:cs="宋体" w:eastAsia="宋体"/>
          <w:color w:val="000000"/>
          <w:sz w:val="21"/>
        </w:rPr>
        <w:t>14.2 在特殊情况下，采购人可与供应商协商延长有效期，此类要求和答复都应以信函、电报或传真的形式进行。按上述第13项规定提供的磋商保证金也应相应地延长。供应商可以拒绝接受延期的要求而放弃响应，保证金将按竞争性磋商文件中相关规定执行；同意延期的供应商不能修改响应文件。</w:t>
      </w:r>
    </w:p>
    <w:p>
      <w:pPr>
        <w:wordWrap w:val="off"/>
        <w:spacing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15</w:t>
      </w:r>
      <w:r>
        <w:rPr>
          <w:rFonts w:ascii="黑体" w:hAnsi="黑体" w:cs="黑体" w:eastAsia="黑体"/>
          <w:color w:val="000000"/>
          <w:sz w:val="28"/>
        </w:rPr>
        <w:t>、响应文件的签署及其形式</w:t>
      </w:r>
    </w:p>
    <w:p>
      <w:pPr>
        <w:wordWrap w:val="off"/>
        <w:spacing w:lineRule="exact" w:line="378"/>
        <w:ind w:firstLineChars="200"/>
        <w:jc w:val="left"/>
      </w:pPr>
      <w:r>
        <w:rPr>
          <w:rFonts w:ascii="宋体" w:hAnsi="宋体" w:cs="宋体" w:eastAsia="宋体"/>
          <w:color w:val="000000"/>
          <w:sz w:val="21"/>
        </w:rPr>
        <w:t>15.1 正本1份，副本</w:t>
      </w:r>
      <w:r>
        <w:rPr>
          <w:rFonts w:ascii="宋体" w:hAnsi="宋体" w:cs="宋体" w:eastAsia="宋体"/>
          <w:color w:val="000000"/>
          <w:sz w:val="21"/>
        </w:rPr>
        <w:t>2</w:t>
      </w:r>
      <w:r>
        <w:rPr>
          <w:rFonts w:ascii="宋体" w:hAnsi="宋体" w:cs="宋体" w:eastAsia="宋体"/>
          <w:color w:val="000000"/>
          <w:sz w:val="21"/>
        </w:rPr>
        <w:t>份，电子版1份（U盘形式。电子版须为正本PDF扫描件，与纸质版一致，在U盘上标注供应商名称及项目编号，U盘递交后不予退还）。响应文件正本和副本如有不一致之处，以正本为准。</w:t>
      </w:r>
    </w:p>
    <w:p>
      <w:pPr>
        <w:wordWrap w:val="off"/>
        <w:spacing w:before="0" w:after="0" w:lineRule="exact" w:line="378"/>
        <w:ind w:firstLineChars="200"/>
        <w:jc w:val="left"/>
      </w:pPr>
      <w:r>
        <w:rPr>
          <w:rFonts w:ascii="宋体" w:hAnsi="宋体" w:cs="宋体" w:eastAsia="宋体"/>
          <w:color w:val="000000"/>
          <w:sz w:val="21"/>
        </w:rPr>
        <w:t>15.2 响应文件均应采用打印或使用不能擦去的黑色或蓝色墨水书写，由响应单位法定代表人或其授权代表在响应文件要求处亲自签署或盖章。</w:t>
      </w:r>
    </w:p>
    <w:p>
      <w:pPr>
        <w:wordWrap w:val="off"/>
        <w:spacing w:before="0" w:after="0" w:lineRule="exact" w:line="378"/>
        <w:ind w:firstLineChars="200"/>
        <w:jc w:val="left"/>
      </w:pPr>
      <w:r>
        <w:rPr>
          <w:rFonts w:ascii="宋体" w:hAnsi="宋体" w:cs="宋体" w:eastAsia="宋体"/>
          <w:color w:val="000000"/>
          <w:sz w:val="21"/>
        </w:rPr>
        <w:t>15.3 响应文件不应有涂改、增删之处。但如有错误必须修改时，修改处必须由原授权代表签署或盖单位公章。</w:t>
      </w:r>
    </w:p>
    <w:p>
      <w:pPr>
        <w:wordWrap w:val="off"/>
        <w:spacing w:lineRule="exact" w:line="576"/>
        <w:ind w:firstLineChars="100"/>
        <w:jc w:val="left"/>
        <w:outlineLvl w:val="1"/>
      </w:pPr>
      <w:r>
        <w:rPr>
          <w:rFonts w:ascii="宋体" w:hAnsi="宋体" w:cs="宋体" w:eastAsia="宋体"/>
          <w:b w:val="true"/>
          <w:color w:val="000000"/>
          <w:sz w:val="32"/>
        </w:rPr>
        <w:t/>
      </w:r>
      <w:r>
        <w:rPr>
          <w:rFonts w:ascii="宋体" w:hAnsi="宋体" w:cs="宋体" w:eastAsia="宋体"/>
          <w:b w:val="true"/>
          <w:color w:val="000000"/>
          <w:sz w:val="32"/>
        </w:rPr>
        <w:t>四</w:t>
      </w:r>
      <w:r>
        <w:rPr>
          <w:rFonts w:ascii="宋体" w:hAnsi="宋体" w:cs="宋体" w:eastAsia="宋体"/>
          <w:b w:val="true"/>
          <w:color w:val="000000"/>
          <w:sz w:val="32"/>
        </w:rPr>
        <w:t>、响应文件的递交</w:t>
      </w:r>
    </w:p>
    <w:p>
      <w:pPr>
        <w:wordWrap w:val="off"/>
        <w:spacing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16</w:t>
      </w:r>
      <w:r>
        <w:rPr>
          <w:rFonts w:ascii="黑体" w:hAnsi="黑体" w:cs="黑体" w:eastAsia="黑体"/>
          <w:color w:val="000000"/>
          <w:sz w:val="28"/>
        </w:rPr>
        <w:t>、响应文件的密封及标记</w:t>
      </w:r>
    </w:p>
    <w:p>
      <w:pPr>
        <w:wordWrap w:val="off"/>
        <w:spacing w:lineRule="exact" w:line="378"/>
        <w:ind w:firstLineChars="200"/>
        <w:jc w:val="left"/>
      </w:pPr>
      <w:r>
        <w:rPr>
          <w:rFonts w:ascii="宋体" w:hAnsi="宋体" w:cs="宋体" w:eastAsia="宋体"/>
          <w:color w:val="000000"/>
          <w:sz w:val="21"/>
        </w:rPr>
        <w:t>16.1 响应文件应按以下方法分别装袋密封：</w:t>
      </w:r>
    </w:p>
    <w:p>
      <w:pPr>
        <w:wordWrap w:val="off"/>
        <w:spacing w:before="0" w:after="0" w:lineRule="exact" w:line="378"/>
        <w:ind w:firstLineChars="200"/>
        <w:jc w:val="left"/>
      </w:pPr>
      <w:r>
        <w:rPr>
          <w:rFonts w:ascii="宋体" w:hAnsi="宋体" w:cs="宋体" w:eastAsia="宋体"/>
          <w:color w:val="000000"/>
          <w:sz w:val="21"/>
        </w:rPr>
        <w:t>（1）响应文件一（报价部分）密封袋内装响应文件正本1份，副本</w:t>
      </w:r>
      <w:r>
        <w:rPr>
          <w:rFonts w:ascii="宋体" w:hAnsi="宋体" w:cs="宋体" w:eastAsia="宋体"/>
          <w:color w:val="000000"/>
          <w:sz w:val="21"/>
        </w:rPr>
        <w:t>2</w:t>
      </w:r>
      <w:r>
        <w:rPr>
          <w:rFonts w:ascii="宋体" w:hAnsi="宋体" w:cs="宋体" w:eastAsia="宋体"/>
          <w:color w:val="000000"/>
          <w:sz w:val="21"/>
        </w:rPr>
        <w:t>份，封口处应有供应商的法定代表人或被授权人的签字及响应单位公章。封皮上写明竞争性磋商编号、采购人名称、竞争性磋商项目名称、供应商名称，并注明“响应文件一（报价部分）”字样和“开标时启封”等字样。</w:t>
      </w:r>
    </w:p>
    <w:p>
      <w:pPr>
        <w:wordWrap w:val="off"/>
        <w:spacing w:before="0" w:after="0" w:lineRule="exact" w:line="378"/>
        <w:ind w:firstLineChars="200"/>
        <w:jc w:val="left"/>
      </w:pPr>
      <w:r>
        <w:rPr>
          <w:rFonts w:ascii="宋体" w:hAnsi="宋体" w:cs="宋体" w:eastAsia="宋体"/>
          <w:color w:val="000000"/>
          <w:sz w:val="21"/>
        </w:rPr>
        <w:t>（2）响应文件二（资格证明文件及技术服务方案部分）密封袋内装响应文件正本1份，副本</w:t>
      </w:r>
      <w:r>
        <w:rPr>
          <w:rFonts w:ascii="宋体" w:hAnsi="宋体" w:cs="宋体" w:eastAsia="宋体"/>
          <w:color w:val="000000"/>
          <w:sz w:val="21"/>
        </w:rPr>
        <w:t>2</w:t>
      </w:r>
      <w:r>
        <w:rPr>
          <w:rFonts w:ascii="宋体" w:hAnsi="宋体" w:cs="宋体" w:eastAsia="宋体"/>
          <w:color w:val="000000"/>
          <w:sz w:val="21"/>
        </w:rPr>
        <w:t>份，封口处应有供应商的法定代表人或被授权人的签字及响应单位公章。封皮上写明竞争性磋商编号、采购人名称、竞争性磋商项目名称、供应商名称，并注明“响应文件二（资格证明文件及技术部分）”、“开标时启封”等字样。</w:t>
      </w:r>
    </w:p>
    <w:p>
      <w:pPr>
        <w:wordWrap w:val="off"/>
        <w:spacing w:before="0" w:after="0" w:lineRule="exact" w:line="378"/>
        <w:ind w:firstLineChars="200"/>
        <w:jc w:val="left"/>
      </w:pPr>
      <w:r>
        <w:rPr>
          <w:rFonts w:ascii="宋体" w:hAnsi="宋体" w:cs="宋体" w:eastAsia="宋体"/>
          <w:color w:val="000000"/>
          <w:sz w:val="21"/>
        </w:rPr>
        <w:t xml:space="preserve">（3）如果供应商未在密封口盖上公章和法定代表人或被授权人签字和盖章，采购人将拒绝接受响应文件。 </w:t>
      </w:r>
    </w:p>
    <w:p>
      <w:pPr>
        <w:wordWrap w:val="off"/>
        <w:spacing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17</w:t>
      </w:r>
      <w:r>
        <w:rPr>
          <w:rFonts w:ascii="黑体" w:hAnsi="黑体" w:cs="黑体" w:eastAsia="黑体"/>
          <w:color w:val="000000"/>
          <w:sz w:val="28"/>
        </w:rPr>
        <w:t>、响应文件提交截止时间</w:t>
      </w:r>
    </w:p>
    <w:p>
      <w:pPr>
        <w:wordWrap w:val="off"/>
        <w:spacing w:lineRule="exact" w:line="378"/>
        <w:ind w:firstLineChars="200"/>
        <w:jc w:val="left"/>
      </w:pPr>
      <w:r>
        <w:rPr>
          <w:rFonts w:ascii="宋体" w:hAnsi="宋体" w:cs="宋体" w:eastAsia="宋体"/>
          <w:color w:val="000000"/>
          <w:sz w:val="21"/>
        </w:rPr>
        <w:t xml:space="preserve">17.1 </w:t>
      </w:r>
      <w:r>
        <w:rPr>
          <w:rFonts w:ascii="宋体" w:hAnsi="宋体" w:cs="宋体" w:eastAsia="宋体"/>
          <w:color w:val="000000"/>
          <w:sz w:val="21"/>
        </w:rPr>
        <w:t>响应文件必须在响应截止时间前派人送达到竞争性磋商文件中规定的磋商地点。</w:t>
      </w:r>
    </w:p>
    <w:p>
      <w:pPr>
        <w:wordWrap w:val="off"/>
        <w:spacing w:before="0" w:after="0" w:lineRule="exact" w:line="378"/>
        <w:ind w:firstLineChars="200"/>
        <w:jc w:val="left"/>
      </w:pPr>
      <w:r>
        <w:rPr>
          <w:rFonts w:ascii="宋体" w:hAnsi="宋体" w:cs="宋体" w:eastAsia="宋体"/>
          <w:color w:val="000000"/>
          <w:sz w:val="21"/>
        </w:rPr>
        <w:t>17.2 采购人推迟响应截止时间时，应以书面(或传真、电子邮件)的形式，通知所有供应商。在这种情况下，采购人和供应商的权利和义务将受到新的截止期的约束。</w:t>
      </w:r>
    </w:p>
    <w:p>
      <w:pPr>
        <w:wordWrap w:val="off"/>
        <w:spacing w:before="0" w:after="0" w:lineRule="exact" w:line="378"/>
        <w:ind w:firstLineChars="200"/>
        <w:jc w:val="left"/>
      </w:pPr>
      <w:r>
        <w:rPr>
          <w:rFonts w:ascii="宋体" w:hAnsi="宋体" w:cs="宋体" w:eastAsia="宋体"/>
          <w:color w:val="000000"/>
          <w:sz w:val="21"/>
        </w:rPr>
        <w:t>17.3 在响应截止时间以后送达的响应文件，采购人拒绝接收。</w:t>
      </w:r>
    </w:p>
    <w:p>
      <w:pPr>
        <w:wordWrap w:val="off"/>
        <w:spacing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18</w:t>
      </w:r>
      <w:r>
        <w:rPr>
          <w:rFonts w:ascii="黑体" w:hAnsi="黑体" w:cs="黑体" w:eastAsia="黑体"/>
          <w:color w:val="000000"/>
          <w:sz w:val="28"/>
        </w:rPr>
        <w:t>、响应文件被拒绝接收的情形</w:t>
      </w:r>
    </w:p>
    <w:p>
      <w:pPr>
        <w:wordWrap w:val="off"/>
        <w:spacing w:lineRule="exact" w:line="378"/>
        <w:ind w:firstLineChars="200"/>
        <w:jc w:val="left"/>
      </w:pPr>
      <w:r>
        <w:rPr>
          <w:rFonts w:ascii="宋体" w:hAnsi="宋体" w:cs="宋体" w:eastAsia="宋体"/>
          <w:color w:val="000000"/>
          <w:sz w:val="21"/>
        </w:rPr>
        <w:t>18.1 在响应截止时间以后递交的响应文件，采购人拒绝接收。</w:t>
      </w:r>
    </w:p>
    <w:p>
      <w:pPr>
        <w:wordWrap w:val="off"/>
        <w:spacing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19</w:t>
      </w:r>
      <w:r>
        <w:rPr>
          <w:rFonts w:ascii="黑体" w:hAnsi="黑体" w:cs="黑体" w:eastAsia="黑体"/>
          <w:color w:val="000000"/>
          <w:sz w:val="28"/>
        </w:rPr>
        <w:t>、响应文件的修改或撤回</w:t>
      </w:r>
    </w:p>
    <w:p>
      <w:pPr>
        <w:wordWrap w:val="off"/>
        <w:spacing w:lineRule="exact" w:line="378"/>
        <w:ind w:firstLineChars="200"/>
        <w:jc w:val="left"/>
      </w:pPr>
      <w:r>
        <w:rPr>
          <w:rFonts w:ascii="宋体" w:hAnsi="宋体" w:cs="宋体" w:eastAsia="宋体"/>
          <w:color w:val="000000"/>
          <w:sz w:val="21"/>
        </w:rPr>
        <w:t>19.1 供应商在提交响应文件后可对其响应文件进行补充、修改或撤回。响应文件的补充、修改或撤回应以书面的形式在响应文件提交截止时间前通知采购人。（磋商开始后经磋商所作的澄清、说明、更正和承诺除外，以下同）。响应文件撤回的，供应商的原响应文件采购人将予以退还。</w:t>
      </w:r>
    </w:p>
    <w:p>
      <w:pPr>
        <w:wordWrap w:val="off"/>
        <w:spacing w:before="0" w:after="0" w:lineRule="exact" w:line="378"/>
        <w:ind w:firstLineChars="200"/>
        <w:jc w:val="left"/>
      </w:pPr>
      <w:r>
        <w:rPr>
          <w:rFonts w:ascii="宋体" w:hAnsi="宋体" w:cs="宋体" w:eastAsia="宋体"/>
          <w:color w:val="000000"/>
          <w:sz w:val="21"/>
        </w:rPr>
        <w:t>19.2 供应商补充、修改响应文件的书面材料，须密封送达采购人，同时应在封套上标明“修改响应文件(并注明采购编号)”和“磋商时启封”字样。</w:t>
      </w:r>
    </w:p>
    <w:p>
      <w:pPr>
        <w:wordWrap w:val="off"/>
        <w:spacing w:before="0" w:after="0" w:lineRule="exact" w:line="378"/>
        <w:ind w:firstLineChars="200"/>
        <w:jc w:val="left"/>
      </w:pPr>
      <w:r>
        <w:rPr>
          <w:rFonts w:ascii="宋体" w:hAnsi="宋体" w:cs="宋体" w:eastAsia="宋体"/>
          <w:color w:val="000000"/>
          <w:sz w:val="21"/>
        </w:rPr>
        <w:t>19.3 书面撤回通知应由供应商法定代表人或代理人签署并加盖供应商单位公章。撤回响应文件的时间以书面撤回通知送达采购人或邮电到达日戳为准。</w:t>
      </w:r>
    </w:p>
    <w:p>
      <w:pPr>
        <w:wordWrap w:val="off"/>
        <w:spacing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20</w:t>
      </w:r>
      <w:r>
        <w:rPr>
          <w:rFonts w:ascii="黑体" w:hAnsi="黑体" w:cs="黑体" w:eastAsia="黑体"/>
          <w:color w:val="000000"/>
          <w:sz w:val="28"/>
        </w:rPr>
        <w:t>、磋商样品</w:t>
      </w:r>
    </w:p>
    <w:p>
      <w:pPr>
        <w:wordWrap w:val="off"/>
        <w:spacing w:lineRule="exact" w:line="378"/>
        <w:ind w:firstLineChars="200"/>
        <w:jc w:val="left"/>
      </w:pPr>
      <w:r>
        <w:rPr>
          <w:rFonts w:ascii="宋体" w:hAnsi="宋体" w:cs="宋体" w:eastAsia="宋体"/>
          <w:color w:val="000000"/>
          <w:sz w:val="21"/>
        </w:rPr>
        <w:t xml:space="preserve">20.1 </w:t>
      </w:r>
      <w:r>
        <w:rPr>
          <w:rFonts w:ascii="宋体" w:hAnsi="宋体" w:cs="宋体" w:eastAsia="宋体"/>
          <w:color w:val="000000"/>
          <w:sz w:val="21"/>
        </w:rPr>
        <w:t>本项目不需要提供样品。</w:t>
      </w:r>
    </w:p>
    <w:p>
      <w:pPr>
        <w:wordWrap w:val="off"/>
        <w:spacing w:before="0" w:after="0" w:lineRule="exact" w:line="378"/>
        <w:ind w:firstLineChars="200"/>
        <w:jc w:val="left"/>
      </w:pPr>
      <w:r>
        <w:rPr>
          <w:rFonts w:ascii="宋体" w:hAnsi="宋体" w:cs="宋体" w:eastAsia="宋体"/>
          <w:color w:val="000000"/>
          <w:sz w:val="21"/>
        </w:rPr>
        <w:t>20.2 若需要供应商提供样品，磋商样品须在响应截止日前送达供应商指定地点，超过响应截止时间不再接收。</w:t>
      </w:r>
    </w:p>
    <w:p>
      <w:pPr>
        <w:wordWrap w:val="off"/>
        <w:spacing w:before="0" w:after="0" w:lineRule="exact" w:line="378"/>
        <w:ind w:firstLineChars="200"/>
        <w:jc w:val="left"/>
      </w:pPr>
      <w:r>
        <w:rPr>
          <w:rFonts w:ascii="宋体" w:hAnsi="宋体" w:cs="宋体" w:eastAsia="宋体"/>
          <w:color w:val="000000"/>
          <w:sz w:val="21"/>
        </w:rPr>
        <w:t>20.3 成交候选人的样品将被封样留存，作为供货验收依据，项目结束后退还。未成交供应商的磋商样品，将于定标结束后连同磋商保证金一并退还。采购人对磋商样品只负责保留五个工作日（其中，生鲜类样品不负责保存）。未成交供应商应主动与磋商样品接收人联系办理磋商样品退还事宜，以及办理退还手续，由于供应商的自身原因未及时办理磋商样品的，其责任和由此造成的后果由供应商自行承担。</w:t>
      </w:r>
    </w:p>
    <w:p>
      <w:pPr>
        <w:spacing w:before="0" w:after="0" w:lineRule="exact" w:line="90"/>
      </w:pPr>
    </w:p>
    <w:p>
      <w:pPr>
        <w:wordWrap w:val="off"/>
        <w:spacing w:lineRule="exact" w:line="576"/>
        <w:ind w:firstLineChars="100"/>
        <w:jc w:val="left"/>
        <w:outlineLvl w:val="1"/>
      </w:pPr>
      <w:r>
        <w:rPr>
          <w:rFonts w:ascii="宋体" w:hAnsi="宋体" w:cs="宋体" w:eastAsia="宋体"/>
          <w:b w:val="true"/>
          <w:color w:val="000000"/>
          <w:sz w:val="32"/>
        </w:rPr>
        <w:t/>
      </w:r>
      <w:r>
        <w:rPr>
          <w:rFonts w:ascii="宋体" w:hAnsi="宋体" w:cs="宋体" w:eastAsia="宋体"/>
          <w:b w:val="true"/>
          <w:color w:val="000000"/>
          <w:sz w:val="32"/>
        </w:rPr>
        <w:t>五</w:t>
      </w:r>
      <w:r>
        <w:rPr>
          <w:rFonts w:ascii="宋体" w:hAnsi="宋体" w:cs="宋体" w:eastAsia="宋体"/>
          <w:b w:val="true"/>
          <w:color w:val="000000"/>
          <w:sz w:val="32"/>
        </w:rPr>
        <w:t>、磋商与评审</w:t>
      </w:r>
    </w:p>
    <w:p>
      <w:pPr>
        <w:wordWrap w:val="off"/>
        <w:spacing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21</w:t>
      </w:r>
      <w:r>
        <w:rPr>
          <w:rFonts w:ascii="黑体" w:hAnsi="黑体" w:cs="黑体" w:eastAsia="黑体"/>
          <w:color w:val="000000"/>
          <w:sz w:val="28"/>
        </w:rPr>
        <w:t>、磋商仪式</w:t>
      </w:r>
    </w:p>
    <w:p>
      <w:pPr>
        <w:wordWrap w:val="off"/>
        <w:spacing w:lineRule="exact" w:line="378"/>
        <w:ind w:firstLineChars="200"/>
        <w:jc w:val="left"/>
      </w:pPr>
      <w:r>
        <w:rPr>
          <w:rFonts w:ascii="宋体" w:hAnsi="宋体" w:cs="宋体" w:eastAsia="宋体"/>
          <w:color w:val="000000"/>
          <w:sz w:val="21"/>
        </w:rPr>
        <w:t>21.1 采购人将在竞争性磋商公告中规定的时间和地点组织磋商。供应商应委派携带有效证件的代表准时参加，参加磋商的代表需签名以证明其出席。</w:t>
      </w:r>
    </w:p>
    <w:p>
      <w:pPr>
        <w:wordWrap w:val="off"/>
        <w:spacing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22</w:t>
      </w:r>
      <w:r>
        <w:rPr>
          <w:rFonts w:ascii="黑体" w:hAnsi="黑体" w:cs="黑体" w:eastAsia="黑体"/>
          <w:color w:val="000000"/>
          <w:sz w:val="28"/>
        </w:rPr>
        <w:t>、磋商小组</w:t>
      </w:r>
    </w:p>
    <w:p>
      <w:pPr>
        <w:wordWrap w:val="off"/>
        <w:spacing w:lineRule="exact" w:line="378"/>
        <w:ind w:firstLineChars="200"/>
        <w:jc w:val="left"/>
      </w:pPr>
      <w:r>
        <w:rPr>
          <w:rFonts w:ascii="宋体" w:hAnsi="宋体" w:cs="宋体" w:eastAsia="宋体"/>
          <w:color w:val="000000"/>
          <w:sz w:val="21"/>
        </w:rPr>
        <w:t>22.1 开启后，采购人组织磋商小组进行评审。</w:t>
      </w:r>
    </w:p>
    <w:p>
      <w:pPr>
        <w:wordWrap w:val="off"/>
        <w:spacing w:before="0" w:after="0" w:lineRule="exact" w:line="378"/>
        <w:ind w:firstLineChars="200"/>
        <w:jc w:val="left"/>
      </w:pPr>
      <w:r>
        <w:rPr>
          <w:rFonts w:ascii="宋体" w:hAnsi="宋体" w:cs="宋体" w:eastAsia="宋体"/>
          <w:color w:val="000000"/>
          <w:sz w:val="21"/>
        </w:rPr>
        <w:t>22.2 磋商小组由用户代表和有关技术、经济等方面的专家组成，独立开展评审工作且磋商小组人员构成符合政府采购有关规定。</w:t>
      </w:r>
    </w:p>
    <w:p>
      <w:pPr>
        <w:wordWrap w:val="off"/>
        <w:spacing w:before="0" w:after="0" w:lineRule="exact" w:line="378"/>
        <w:ind w:firstLineChars="200"/>
        <w:jc w:val="left"/>
      </w:pPr>
      <w:r>
        <w:rPr>
          <w:rFonts w:ascii="宋体" w:hAnsi="宋体" w:cs="宋体" w:eastAsia="宋体"/>
          <w:color w:val="000000"/>
          <w:sz w:val="21"/>
        </w:rPr>
        <w:t>22.3 磋商小组独立工作，负责评审所有响应文件并确定成交侯选人。</w:t>
      </w:r>
    </w:p>
    <w:p>
      <w:pPr>
        <w:wordWrap w:val="off"/>
        <w:spacing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23</w:t>
      </w:r>
      <w:r>
        <w:rPr>
          <w:rFonts w:ascii="黑体" w:hAnsi="黑体" w:cs="黑体" w:eastAsia="黑体"/>
          <w:color w:val="000000"/>
          <w:sz w:val="28"/>
        </w:rPr>
        <w:t>、磋商评审过程的保密与公正</w:t>
      </w:r>
    </w:p>
    <w:p>
      <w:pPr>
        <w:wordWrap w:val="off"/>
        <w:spacing w:lineRule="exact" w:line="378"/>
        <w:ind w:firstLineChars="200"/>
        <w:jc w:val="left"/>
      </w:pPr>
      <w:r>
        <w:rPr>
          <w:rFonts w:ascii="宋体" w:hAnsi="宋体" w:cs="宋体" w:eastAsia="宋体"/>
          <w:color w:val="000000"/>
          <w:sz w:val="21"/>
        </w:rPr>
        <w:t>23.1 磋商开始后，直至向成交的供应商授予合同时止，凡是与审查、澄清、评价和比较响应的有关资料以及定标建议等，供应商、评委、用户代表均不得向供应商或与评审无关的其他人员透露。</w:t>
      </w:r>
    </w:p>
    <w:p>
      <w:pPr>
        <w:wordWrap w:val="off"/>
        <w:spacing w:before="0" w:after="0" w:lineRule="exact" w:line="378"/>
        <w:ind w:firstLineChars="200"/>
        <w:jc w:val="left"/>
      </w:pPr>
      <w:r>
        <w:rPr>
          <w:rFonts w:ascii="宋体" w:hAnsi="宋体" w:cs="宋体" w:eastAsia="宋体"/>
          <w:color w:val="000000"/>
          <w:sz w:val="21"/>
        </w:rPr>
        <w:t>23.2 在评审过程中，供应商不得以任何行为影响评审过程，否则其响应文件将被作为无效响应文件。</w:t>
      </w:r>
    </w:p>
    <w:p>
      <w:pPr>
        <w:wordWrap w:val="off"/>
        <w:spacing w:before="0" w:after="0" w:lineRule="exact" w:line="378"/>
        <w:ind w:firstLineChars="200"/>
        <w:jc w:val="left"/>
      </w:pPr>
      <w:r>
        <w:rPr>
          <w:rFonts w:ascii="宋体" w:hAnsi="宋体" w:cs="宋体" w:eastAsia="宋体"/>
          <w:color w:val="000000"/>
          <w:sz w:val="21"/>
        </w:rPr>
        <w:t>23.3 供应商和磋商小组不得向未成交的供应商解释未成交原因，也不公布评审过程中的相关细节。</w:t>
      </w:r>
    </w:p>
    <w:p>
      <w:pPr>
        <w:wordWrap w:val="off"/>
        <w:spacing w:before="0" w:after="0" w:lineRule="exact" w:line="378"/>
        <w:ind w:firstLineChars="200"/>
        <w:jc w:val="left"/>
      </w:pPr>
      <w:r>
        <w:rPr>
          <w:rFonts w:ascii="宋体" w:hAnsi="宋体" w:cs="宋体" w:eastAsia="宋体"/>
          <w:color w:val="000000"/>
          <w:sz w:val="21"/>
        </w:rPr>
        <w:t>23.4 在评审期间，采购人将通过指定联络人与供应商进行联系。</w:t>
      </w:r>
    </w:p>
    <w:p>
      <w:pPr>
        <w:wordWrap w:val="off"/>
        <w:spacing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24</w:t>
      </w:r>
      <w:r>
        <w:rPr>
          <w:rFonts w:ascii="黑体" w:hAnsi="黑体" w:cs="黑体" w:eastAsia="黑体"/>
          <w:color w:val="000000"/>
          <w:sz w:val="28"/>
        </w:rPr>
        <w:t>、磋商评审原则</w:t>
      </w:r>
    </w:p>
    <w:p>
      <w:pPr>
        <w:wordWrap w:val="off"/>
        <w:spacing w:lineRule="exact" w:line="378"/>
        <w:ind w:firstLineChars="200"/>
        <w:jc w:val="left"/>
      </w:pPr>
      <w:r>
        <w:rPr>
          <w:rFonts w:ascii="宋体" w:hAnsi="宋体" w:cs="宋体" w:eastAsia="宋体"/>
          <w:color w:val="000000"/>
          <w:sz w:val="21"/>
        </w:rPr>
        <w:t>24.1 磋商小组成员应当按照客观、公正、审慎的原则，根据磋商文件规定的评审程序、评审方法和评审标准进行独立评审。未实质性响应磋商文件的响应文件按无效响应处理，磋商小组应当告知提交响应文件的供应商。磋商文件内容违反国家有关强制性规定的，磋商小组应当停止评审并向采购人或者采购采购人说明情况。</w:t>
      </w:r>
    </w:p>
    <w:p>
      <w:pPr>
        <w:wordWrap w:val="off"/>
        <w:spacing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25</w:t>
      </w:r>
      <w:r>
        <w:rPr>
          <w:rFonts w:ascii="黑体" w:hAnsi="黑体" w:cs="黑体" w:eastAsia="黑体"/>
          <w:color w:val="000000"/>
          <w:sz w:val="28"/>
        </w:rPr>
        <w:t>、响应文件审查</w:t>
      </w:r>
    </w:p>
    <w:p>
      <w:pPr>
        <w:wordWrap w:val="off"/>
        <w:spacing w:lineRule="exact" w:line="378"/>
        <w:ind w:firstLineChars="200"/>
        <w:jc w:val="left"/>
      </w:pPr>
      <w:r>
        <w:rPr>
          <w:rFonts w:ascii="宋体" w:hAnsi="宋体" w:cs="宋体" w:eastAsia="宋体"/>
          <w:color w:val="000000"/>
          <w:sz w:val="21"/>
        </w:rPr>
        <w:t>25.1 磋商小组在对响应文件的有效性、完整性和响应程度进行审查时，可以要求供应商对响应文件中含义不明确、同类问题表述不一致或者有明显文字和计算错误的内容等作出必要的澄清、说明或者更正。供应商的澄清、说明或者更正不得超出响应文件的范围或者改变响应文件的实质性内容。</w:t>
      </w:r>
    </w:p>
    <w:p>
      <w:pPr>
        <w:wordWrap w:val="off"/>
        <w:spacing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26</w:t>
      </w:r>
      <w:r>
        <w:rPr>
          <w:rFonts w:ascii="黑体" w:hAnsi="黑体" w:cs="黑体" w:eastAsia="黑体"/>
          <w:color w:val="000000"/>
          <w:sz w:val="28"/>
        </w:rPr>
        <w:t>、响应文件的澄清</w:t>
      </w:r>
    </w:p>
    <w:p>
      <w:pPr>
        <w:wordWrap w:val="off"/>
        <w:spacing w:lineRule="exact" w:line="378"/>
        <w:ind w:firstLineChars="200"/>
        <w:jc w:val="left"/>
      </w:pPr>
      <w:r>
        <w:rPr>
          <w:rFonts w:ascii="宋体" w:hAnsi="宋体" w:cs="宋体" w:eastAsia="宋体"/>
          <w:color w:val="000000"/>
          <w:sz w:val="21"/>
        </w:rPr>
        <w:t>26.1 磋商小组要求供应商澄清、说明或者更正响应文件将以书面形式作出。供应商的澄清、说明或者更正应当由法定代表人或其授权代表签字或者加盖公章。</w:t>
      </w:r>
    </w:p>
    <w:p>
      <w:pPr>
        <w:wordWrap w:val="off"/>
        <w:spacing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27</w:t>
      </w:r>
      <w:r>
        <w:rPr>
          <w:rFonts w:ascii="黑体" w:hAnsi="黑体" w:cs="黑体" w:eastAsia="黑体"/>
          <w:color w:val="000000"/>
          <w:sz w:val="28"/>
        </w:rPr>
        <w:t>、磋商程序及评审方法和标准</w:t>
      </w:r>
    </w:p>
    <w:p>
      <w:pPr>
        <w:wordWrap w:val="off"/>
        <w:spacing w:lineRule="exact" w:line="378"/>
        <w:ind w:firstLineChars="200"/>
        <w:jc w:val="left"/>
      </w:pPr>
      <w:r>
        <w:rPr>
          <w:rFonts w:ascii="宋体" w:hAnsi="宋体" w:cs="宋体" w:eastAsia="宋体"/>
          <w:color w:val="000000"/>
          <w:sz w:val="21"/>
        </w:rPr>
        <w:t>27.1 磋商小组所有成员应当集中与单一供应商分别进行磋商，并给予所有参加磋商的供应商平等的磋商机会。</w:t>
      </w:r>
    </w:p>
    <w:p>
      <w:pPr>
        <w:wordWrap w:val="off"/>
        <w:spacing w:before="0" w:after="0" w:lineRule="exact" w:line="378"/>
        <w:ind w:firstLineChars="200"/>
        <w:jc w:val="left"/>
      </w:pPr>
      <w:r>
        <w:rPr>
          <w:rFonts w:ascii="宋体" w:hAnsi="宋体" w:cs="宋体" w:eastAsia="宋体"/>
          <w:color w:val="000000"/>
          <w:sz w:val="21"/>
        </w:rPr>
        <w:t>27.2 在磋商过程中，磋商小组可以根据磋商文件和磋商情况实质性变动采购需求中的技术、服务要求以及合同草案条款，但不得变动磋商文件中的其他内容。对磋商文件作出的实质性变动是磋商文件的有效组成部分，磋商小组应当及时以书面形式同时通知所有参加磋商的供应商。供应商应当按照磋商文件的变动情况和磋商小组的要求重新提交响应文件，并由其法定代表人或授权代表签字或者加盖公章。</w:t>
      </w:r>
    </w:p>
    <w:p>
      <w:pPr>
        <w:wordWrap w:val="off"/>
        <w:spacing w:before="0" w:after="0" w:lineRule="exact" w:line="378"/>
        <w:ind w:firstLineChars="200"/>
        <w:jc w:val="left"/>
      </w:pPr>
      <w:r>
        <w:rPr>
          <w:rFonts w:ascii="宋体" w:hAnsi="宋体" w:cs="宋体" w:eastAsia="宋体"/>
          <w:color w:val="000000"/>
          <w:sz w:val="21"/>
        </w:rPr>
        <w:t>27.3 磋商文件能够详细列明采购标的的技术、服务要求的，磋商结束后，磋商小组将要求所有实质性响应的供应商在规定时间内提交最后报价。最后报价是供应商响应文件的有效组成部分。（注：本项目若采购需求未发生实质性变动（由谈判小组进行认定），将不再组织二次报价，即以供应商响应文件中的报价为最终报价。）</w:t>
      </w:r>
    </w:p>
    <w:p>
      <w:pPr>
        <w:wordWrap w:val="off"/>
        <w:spacing w:before="0" w:after="0" w:lineRule="exact" w:line="378"/>
        <w:ind w:firstLineChars="200"/>
        <w:jc w:val="left"/>
      </w:pPr>
      <w:r>
        <w:rPr>
          <w:rFonts w:ascii="宋体" w:hAnsi="宋体" w:cs="宋体" w:eastAsia="宋体"/>
          <w:color w:val="000000"/>
          <w:sz w:val="21"/>
        </w:rPr>
        <w:t>27.4 已提交响应文件的供应商，在提交最后报价之前，可以根据磋商情况退出磋商。采购人将退还退出磋商的供应商的磋商保证金。</w:t>
      </w:r>
    </w:p>
    <w:p>
      <w:pPr>
        <w:wordWrap w:val="off"/>
        <w:spacing w:before="0" w:after="0" w:lineRule="exact" w:line="378"/>
        <w:ind w:firstLineChars="200"/>
        <w:jc w:val="left"/>
      </w:pPr>
      <w:r>
        <w:rPr>
          <w:rFonts w:ascii="宋体" w:hAnsi="宋体" w:cs="宋体" w:eastAsia="宋体"/>
          <w:color w:val="000000"/>
          <w:sz w:val="21"/>
        </w:rPr>
        <w:t>27.5 经磋商确定最终采购需求和提交最后报价的供应商后，由磋商小组采用综合评分法对提交最后报价的供应商的响应文件和最后报价进行综合评分。综合评分法，是指响应文件满足磋商文件全部实质性要求且按评审因素的量化指标评审得分最高的供应商为成交候选供应商的评审方法。</w:t>
      </w:r>
    </w:p>
    <w:p>
      <w:pPr>
        <w:wordWrap w:val="off"/>
        <w:spacing w:before="0" w:after="0" w:lineRule="exact" w:line="378"/>
        <w:ind w:firstLineChars="200"/>
        <w:jc w:val="left"/>
      </w:pPr>
      <w:r>
        <w:rPr>
          <w:rFonts w:ascii="宋体" w:hAnsi="宋体" w:cs="宋体" w:eastAsia="宋体"/>
          <w:color w:val="000000"/>
          <w:sz w:val="21"/>
        </w:rPr>
        <w:t>27.6 评审时，磋商小组各成员独立对每个有效响应的文件进行评价、打分，然后汇总每个供应商每项评分因素的得分。</w:t>
      </w:r>
    </w:p>
    <w:p>
      <w:pPr>
        <w:wordWrap w:val="off"/>
        <w:spacing w:before="0" w:after="0" w:lineRule="exact" w:line="378"/>
        <w:ind w:firstLineChars="200"/>
        <w:jc w:val="left"/>
      </w:pPr>
      <w:r>
        <w:rPr>
          <w:rFonts w:ascii="宋体" w:hAnsi="宋体" w:cs="宋体" w:eastAsia="宋体"/>
          <w:color w:val="000000"/>
          <w:sz w:val="21"/>
        </w:rPr>
        <w:t>27.7 磋商小组应当根据综合评分情况，按照评审得分由高到低顺序推荐3名成交候选供应商，并编写评审报告。评审得分相同的，按照最后报价由低到高的顺序推荐。评审得分且最后报价相同的，按照第四章评审标准推荐。</w:t>
      </w:r>
    </w:p>
    <w:p>
      <w:pPr>
        <w:wordWrap w:val="off"/>
        <w:spacing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28</w:t>
      </w:r>
      <w:r>
        <w:rPr>
          <w:rFonts w:ascii="黑体" w:hAnsi="黑体" w:cs="黑体" w:eastAsia="黑体"/>
          <w:color w:val="000000"/>
          <w:sz w:val="28"/>
        </w:rPr>
        <w:t>、无效响应条款和废标条款</w:t>
      </w:r>
    </w:p>
    <w:p>
      <w:pPr>
        <w:wordWrap w:val="off"/>
        <w:spacing w:lineRule="exact" w:line="378"/>
        <w:ind w:firstLineChars="150"/>
        <w:jc w:val="left"/>
      </w:pPr>
      <w:r>
        <w:rPr>
          <w:rFonts w:ascii="宋体" w:hAnsi="宋体" w:cs="宋体" w:eastAsia="宋体"/>
          <w:b w:val="true"/>
          <w:color w:val="000000"/>
          <w:sz w:val="21"/>
        </w:rPr>
        <w:t>28.1 无效响应条款</w:t>
      </w:r>
    </w:p>
    <w:p>
      <w:pPr>
        <w:wordWrap w:val="off"/>
        <w:spacing w:lineRule="exact" w:line="378"/>
        <w:ind w:firstLineChars="200"/>
        <w:jc w:val="left"/>
      </w:pPr>
      <w:r>
        <w:rPr>
          <w:rFonts w:ascii="宋体" w:hAnsi="宋体" w:cs="宋体" w:eastAsia="宋体"/>
          <w:color w:val="000000"/>
          <w:sz w:val="21"/>
        </w:rPr>
        <w:t>28.1.1 未按要求交纳磋商保证金的；</w:t>
      </w:r>
    </w:p>
    <w:p>
      <w:pPr>
        <w:wordWrap w:val="off"/>
        <w:spacing w:before="0" w:after="0" w:lineRule="exact" w:line="378"/>
        <w:ind w:firstLineChars="200"/>
        <w:jc w:val="left"/>
      </w:pPr>
      <w:r>
        <w:rPr>
          <w:rFonts w:ascii="宋体" w:hAnsi="宋体" w:cs="宋体" w:eastAsia="宋体"/>
          <w:color w:val="000000"/>
          <w:sz w:val="21"/>
        </w:rPr>
        <w:t>28.1.2 未按照竞争性磋商文件规定要求密封、签署、盖章的；</w:t>
      </w:r>
    </w:p>
    <w:p>
      <w:pPr>
        <w:wordWrap w:val="off"/>
        <w:spacing w:before="0" w:after="0" w:lineRule="exact" w:line="378"/>
        <w:ind w:firstLineChars="200"/>
        <w:jc w:val="left"/>
      </w:pPr>
      <w:r>
        <w:rPr>
          <w:rFonts w:ascii="宋体" w:hAnsi="宋体" w:cs="宋体" w:eastAsia="宋体"/>
          <w:color w:val="000000"/>
          <w:sz w:val="21"/>
        </w:rPr>
        <w:t>28.1.3 供应商不具备竞争性磋商文件中规定资格条件的；</w:t>
      </w:r>
    </w:p>
    <w:p>
      <w:pPr>
        <w:wordWrap w:val="off"/>
        <w:spacing w:before="0" w:after="0" w:lineRule="exact" w:line="378"/>
        <w:ind w:firstLineChars="200"/>
        <w:jc w:val="left"/>
      </w:pPr>
      <w:r>
        <w:rPr>
          <w:rFonts w:ascii="宋体" w:hAnsi="宋体" w:cs="宋体" w:eastAsia="宋体"/>
          <w:color w:val="000000"/>
          <w:sz w:val="21"/>
        </w:rPr>
        <w:t>28.1.4 不符合法律、法规和竞争性磋商文件中规定的其他实质性要求的；</w:t>
      </w:r>
    </w:p>
    <w:p>
      <w:pPr>
        <w:wordWrap w:val="off"/>
        <w:spacing w:before="0" w:after="0" w:lineRule="exact" w:line="378"/>
        <w:ind w:firstLineChars="200"/>
        <w:jc w:val="left"/>
      </w:pPr>
      <w:r>
        <w:rPr>
          <w:rFonts w:ascii="宋体" w:hAnsi="宋体" w:cs="宋体" w:eastAsia="宋体"/>
          <w:color w:val="000000"/>
          <w:sz w:val="21"/>
        </w:rPr>
        <w:t>28.1.5 其他法律、法规及本竞争性磋商文件规定的属响应无效的情形。</w:t>
      </w:r>
    </w:p>
    <w:p>
      <w:pPr>
        <w:wordWrap w:val="off"/>
        <w:spacing w:lineRule="exact" w:line="378"/>
        <w:ind w:firstLineChars="150"/>
        <w:jc w:val="left"/>
      </w:pPr>
      <w:r>
        <w:rPr>
          <w:rFonts w:ascii="宋体" w:hAnsi="宋体" w:cs="宋体" w:eastAsia="宋体"/>
          <w:b w:val="true"/>
          <w:color w:val="000000"/>
          <w:sz w:val="21"/>
        </w:rPr>
        <w:t>28.2 终止竞争性磋商采购活动的条款</w:t>
      </w:r>
    </w:p>
    <w:p>
      <w:pPr>
        <w:wordWrap w:val="off"/>
        <w:spacing w:lineRule="exact" w:line="378"/>
        <w:ind w:firstLineChars="200"/>
        <w:jc w:val="left"/>
      </w:pPr>
      <w:r>
        <w:rPr>
          <w:rFonts w:ascii="宋体" w:hAnsi="宋体" w:cs="宋体" w:eastAsia="宋体"/>
          <w:color w:val="000000"/>
          <w:sz w:val="21"/>
        </w:rPr>
        <w:t>出现下列情形之一的，采购人将终止竞争性磋商采购活动，发布项目终止公告并说明原因，重新开展采购活动：</w:t>
      </w:r>
    </w:p>
    <w:p>
      <w:pPr>
        <w:wordWrap w:val="off"/>
        <w:spacing w:before="0" w:after="0" w:lineRule="exact" w:line="378"/>
        <w:ind w:firstLineChars="200"/>
        <w:jc w:val="left"/>
      </w:pPr>
      <w:r>
        <w:rPr>
          <w:rFonts w:ascii="宋体" w:hAnsi="宋体" w:cs="宋体" w:eastAsia="宋体"/>
          <w:color w:val="000000"/>
          <w:sz w:val="21"/>
        </w:rPr>
        <w:t>（1） 因情况变化，不再符合规定的竞争性磋商采购方式适用情形的；</w:t>
      </w:r>
    </w:p>
    <w:p>
      <w:pPr>
        <w:wordWrap w:val="off"/>
        <w:spacing w:before="0" w:after="0" w:lineRule="exact" w:line="378"/>
        <w:ind w:firstLineChars="200"/>
        <w:jc w:val="left"/>
      </w:pPr>
      <w:r>
        <w:rPr>
          <w:rFonts w:ascii="宋体" w:hAnsi="宋体" w:cs="宋体" w:eastAsia="宋体"/>
          <w:color w:val="000000"/>
          <w:sz w:val="21"/>
        </w:rPr>
        <w:t>（2） 出现影响采购公正的违法、违规行为的；</w:t>
      </w:r>
    </w:p>
    <w:p>
      <w:pPr>
        <w:wordWrap w:val="off"/>
        <w:spacing w:before="0" w:after="0" w:lineRule="exact" w:line="378"/>
        <w:ind w:firstLineChars="200"/>
        <w:jc w:val="left"/>
      </w:pPr>
      <w:r>
        <w:rPr>
          <w:rFonts w:ascii="宋体" w:hAnsi="宋体" w:cs="宋体" w:eastAsia="宋体"/>
          <w:color w:val="000000"/>
          <w:sz w:val="21"/>
        </w:rPr>
        <w:t>（3） 在采购过程中符合要求的供应商或者报价未超过采购预算的供应商不足3家的。</w:t>
      </w:r>
    </w:p>
    <w:p>
      <w:pPr>
        <w:wordWrap w:val="off"/>
        <w:spacing w:lineRule="exact" w:line="576"/>
        <w:ind w:firstLineChars="100"/>
        <w:jc w:val="left"/>
        <w:outlineLvl w:val="1"/>
      </w:pPr>
      <w:r>
        <w:rPr>
          <w:rFonts w:ascii="宋体" w:hAnsi="宋体" w:cs="宋体" w:eastAsia="宋体"/>
          <w:b w:val="true"/>
          <w:color w:val="000000"/>
          <w:sz w:val="32"/>
        </w:rPr>
        <w:t/>
      </w:r>
      <w:r>
        <w:rPr>
          <w:rFonts w:ascii="宋体" w:hAnsi="宋体" w:cs="宋体" w:eastAsia="宋体"/>
          <w:b w:val="true"/>
          <w:color w:val="000000"/>
          <w:sz w:val="32"/>
        </w:rPr>
        <w:t>六</w:t>
      </w:r>
      <w:r>
        <w:rPr>
          <w:rFonts w:ascii="宋体" w:hAnsi="宋体" w:cs="宋体" w:eastAsia="宋体"/>
          <w:b w:val="true"/>
          <w:color w:val="000000"/>
          <w:sz w:val="32"/>
        </w:rPr>
        <w:t>、成交</w:t>
      </w:r>
    </w:p>
    <w:p>
      <w:pPr>
        <w:wordWrap w:val="off"/>
        <w:spacing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29</w:t>
      </w:r>
      <w:r>
        <w:rPr>
          <w:rFonts w:ascii="黑体" w:hAnsi="黑体" w:cs="黑体" w:eastAsia="黑体"/>
          <w:color w:val="000000"/>
          <w:sz w:val="28"/>
        </w:rPr>
        <w:t>、确定成交单位</w:t>
      </w:r>
    </w:p>
    <w:p>
      <w:pPr>
        <w:wordWrap w:val="off"/>
        <w:spacing w:lineRule="exact" w:line="378"/>
        <w:ind w:firstLineChars="200"/>
        <w:jc w:val="left"/>
      </w:pPr>
      <w:r>
        <w:rPr>
          <w:rFonts w:ascii="宋体" w:hAnsi="宋体" w:cs="宋体" w:eastAsia="宋体"/>
          <w:color w:val="000000"/>
          <w:sz w:val="21"/>
        </w:rPr>
        <w:t>29.1 磋商小组应当根据第四章评审标准进行评审，并推荐排名前3位的供应商作为成交候选人，并编写评审报告。</w:t>
      </w:r>
    </w:p>
    <w:p>
      <w:pPr>
        <w:wordWrap w:val="off"/>
        <w:spacing w:before="0" w:after="0" w:lineRule="exact" w:line="378"/>
        <w:ind w:firstLineChars="200"/>
        <w:jc w:val="left"/>
      </w:pPr>
      <w:r>
        <w:rPr>
          <w:rFonts w:ascii="宋体" w:hAnsi="宋体" w:cs="宋体" w:eastAsia="宋体"/>
          <w:color w:val="000000"/>
          <w:sz w:val="21"/>
        </w:rPr>
        <w:t>29.2 采购人根据磋商小组推荐的成交候选人确定成交供应商。</w:t>
      </w:r>
    </w:p>
    <w:p>
      <w:pPr>
        <w:wordWrap w:val="off"/>
        <w:spacing w:before="0" w:after="0" w:lineRule="exact" w:line="378"/>
        <w:ind w:firstLineChars="200"/>
        <w:jc w:val="left"/>
      </w:pPr>
      <w:r>
        <w:rPr>
          <w:rFonts w:ascii="宋体" w:hAnsi="宋体" w:cs="宋体" w:eastAsia="宋体"/>
          <w:color w:val="000000"/>
          <w:sz w:val="21"/>
        </w:rPr>
        <w:t>29.3 评审结束后，采购人在</w:t>
      </w:r>
      <w:r>
        <w:rPr>
          <w:rFonts w:ascii="宋体" w:hAnsi="宋体" w:cs="宋体" w:eastAsia="宋体"/>
          <w:color w:val="000000"/>
          <w:sz w:val="21"/>
        </w:rPr>
        <w:t>5</w:t>
      </w:r>
      <w:r>
        <w:rPr>
          <w:rFonts w:ascii="宋体" w:hAnsi="宋体" w:cs="宋体" w:eastAsia="宋体"/>
          <w:color w:val="000000"/>
          <w:sz w:val="21"/>
        </w:rPr>
        <w:t>个工作日内根据评审报告推荐的成交候选人顺序确定成交供应商。采购人自成交供应商确定之日起2个工作日内，发出成交通知书，并在</w:t>
      </w:r>
      <w:r>
        <w:rPr>
          <w:rFonts w:ascii="宋体" w:hAnsi="宋体" w:cs="宋体" w:eastAsia="宋体"/>
          <w:color w:val="000000"/>
          <w:sz w:val="21"/>
        </w:rPr>
        <w:t>苏州科技大学官网招标公告栏目</w:t>
      </w:r>
      <w:r>
        <w:rPr>
          <w:rFonts w:ascii="宋体" w:hAnsi="宋体" w:cs="宋体" w:eastAsia="宋体"/>
          <w:color w:val="000000"/>
          <w:sz w:val="21"/>
        </w:rPr>
        <w:t>上公告成交结果。</w:t>
      </w:r>
    </w:p>
    <w:p>
      <w:pPr>
        <w:wordWrap w:val="off"/>
        <w:spacing w:before="0" w:after="0" w:lineRule="exact" w:line="378"/>
        <w:ind w:firstLineChars="200"/>
        <w:jc w:val="left"/>
      </w:pPr>
      <w:r>
        <w:rPr>
          <w:rFonts w:ascii="宋体" w:hAnsi="宋体" w:cs="宋体" w:eastAsia="宋体"/>
          <w:color w:val="000000"/>
          <w:sz w:val="21"/>
        </w:rPr>
        <w:t>29.4 成交供应商因不可抗力或者自身原因不能履行采购合同的，采购人可以与排位在成交供应商之后第一位的成交候选供应商签订采购合同，以此类推；采购人也可以重新开展采购活动。</w:t>
      </w:r>
    </w:p>
    <w:p>
      <w:pPr>
        <w:wordWrap w:val="off"/>
        <w:spacing w:before="0" w:after="0" w:lineRule="exact" w:line="378"/>
        <w:ind w:firstLineChars="200"/>
        <w:jc w:val="left"/>
      </w:pPr>
      <w:r>
        <w:rPr>
          <w:rFonts w:ascii="宋体" w:hAnsi="宋体" w:cs="宋体" w:eastAsia="宋体"/>
          <w:color w:val="000000"/>
          <w:sz w:val="21"/>
        </w:rPr>
        <w:t>29.5 采购人对未成交的供应商不作未成交原因的解释。</w:t>
      </w:r>
    </w:p>
    <w:p>
      <w:pPr>
        <w:wordWrap w:val="off"/>
        <w:spacing w:before="0" w:after="0" w:lineRule="exact" w:line="378"/>
        <w:ind w:firstLineChars="200"/>
        <w:jc w:val="left"/>
      </w:pPr>
      <w:r>
        <w:rPr>
          <w:rFonts w:ascii="宋体" w:hAnsi="宋体" w:cs="宋体" w:eastAsia="宋体"/>
          <w:color w:val="000000"/>
          <w:sz w:val="21"/>
        </w:rPr>
        <w:t>29.6 所有响应文件都将作为档案保存，不论成交与否，采购人均不退回。</w:t>
      </w:r>
    </w:p>
    <w:p>
      <w:pPr>
        <w:wordWrap w:val="off"/>
        <w:spacing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30</w:t>
      </w:r>
      <w:r>
        <w:rPr>
          <w:rFonts w:ascii="黑体" w:hAnsi="黑体" w:cs="黑体" w:eastAsia="黑体"/>
          <w:color w:val="000000"/>
          <w:sz w:val="28"/>
        </w:rPr>
        <w:t>、质疑</w:t>
      </w:r>
    </w:p>
    <w:p>
      <w:pPr>
        <w:wordWrap w:val="off"/>
        <w:spacing w:lineRule="exact" w:line="378"/>
        <w:ind w:firstLineChars="200"/>
        <w:jc w:val="left"/>
      </w:pPr>
      <w:r>
        <w:rPr>
          <w:rFonts w:ascii="宋体" w:hAnsi="宋体" w:cs="宋体" w:eastAsia="宋体"/>
          <w:color w:val="000000"/>
          <w:sz w:val="21"/>
        </w:rPr>
        <w:t>30.1 供应商对磋商活动事项有疑问的，可以向采购人提出询问，采购人将依法做出答复，但答复的内容不涉及商业秘密。</w:t>
      </w:r>
    </w:p>
    <w:p>
      <w:pPr>
        <w:wordWrap w:val="off"/>
        <w:spacing w:before="0" w:after="0" w:lineRule="exact" w:line="378"/>
        <w:ind w:firstLineChars="200"/>
        <w:jc w:val="left"/>
      </w:pPr>
      <w:r>
        <w:rPr>
          <w:rFonts w:ascii="宋体" w:hAnsi="宋体" w:cs="宋体" w:eastAsia="宋体"/>
          <w:color w:val="000000"/>
          <w:sz w:val="21"/>
        </w:rPr>
        <w:t>30.2 供应商认为采购文件、采购过程和中标结果使自己的合法权益受到损害的，可以在知道或者应当知道其权益受到损害之日起七个工作日内，将质疑文件原件及相关材料送达采购人。</w:t>
      </w:r>
      <w:r>
        <w:rPr>
          <w:rFonts w:ascii="宋体" w:hAnsi="宋体" w:cs="宋体" w:eastAsia="宋体"/>
          <w:b w:val="true"/>
          <w:color w:val="000000"/>
          <w:sz w:val="21"/>
        </w:rPr>
        <w:t>质疑供应商须在法定质疑期限内一次性提出针对同一采购程序的质疑</w:t>
      </w:r>
      <w:r>
        <w:rPr>
          <w:rFonts w:ascii="宋体" w:hAnsi="宋体" w:cs="宋体" w:eastAsia="宋体"/>
          <w:color w:val="000000"/>
          <w:sz w:val="21"/>
        </w:rPr>
        <w:t>。</w:t>
      </w:r>
    </w:p>
    <w:p>
      <w:pPr>
        <w:wordWrap w:val="off"/>
        <w:spacing w:before="0" w:after="0" w:lineRule="exact" w:line="378"/>
        <w:ind w:firstLineChars="200"/>
        <w:jc w:val="left"/>
      </w:pPr>
      <w:r>
        <w:rPr>
          <w:rFonts w:ascii="宋体" w:hAnsi="宋体" w:cs="宋体" w:eastAsia="宋体"/>
          <w:color w:val="000000"/>
          <w:sz w:val="21"/>
        </w:rPr>
        <w:t>30.3 质疑文件应包括以下主要内容，并按照“谁主张、谁举证”的原则，附上相关证明材料。否则，采购人不予受理：</w:t>
      </w:r>
    </w:p>
    <w:p>
      <w:pPr>
        <w:wordWrap w:val="off"/>
        <w:spacing w:before="0" w:after="0" w:lineRule="exact" w:line="378"/>
        <w:ind w:firstLineChars="200"/>
        <w:jc w:val="left"/>
      </w:pPr>
      <w:r>
        <w:rPr>
          <w:rFonts w:ascii="宋体" w:hAnsi="宋体" w:cs="宋体" w:eastAsia="宋体"/>
          <w:color w:val="000000"/>
          <w:sz w:val="21"/>
        </w:rPr>
        <w:t>（1）质疑项目名称、项目编号、标段号、磋商公告发布时间、开启时间；</w:t>
      </w:r>
    </w:p>
    <w:p>
      <w:pPr>
        <w:wordWrap w:val="off"/>
        <w:spacing w:before="0" w:after="0" w:lineRule="exact" w:line="378"/>
        <w:ind w:firstLineChars="200"/>
        <w:jc w:val="left"/>
      </w:pPr>
      <w:r>
        <w:rPr>
          <w:rFonts w:ascii="宋体" w:hAnsi="宋体" w:cs="宋体" w:eastAsia="宋体"/>
          <w:color w:val="000000"/>
          <w:sz w:val="21"/>
        </w:rPr>
        <w:t>（2）具体的质疑事项及法律依据（具体条款）；</w:t>
      </w:r>
    </w:p>
    <w:p>
      <w:pPr>
        <w:wordWrap w:val="off"/>
        <w:spacing w:before="0" w:after="0" w:lineRule="exact" w:line="378"/>
        <w:ind w:firstLineChars="200"/>
        <w:jc w:val="left"/>
      </w:pPr>
      <w:r>
        <w:rPr>
          <w:rFonts w:ascii="宋体" w:hAnsi="宋体" w:cs="宋体" w:eastAsia="宋体"/>
          <w:color w:val="000000"/>
          <w:sz w:val="21"/>
        </w:rPr>
        <w:t>（3）质疑相关证明文件或证明材料；</w:t>
      </w:r>
    </w:p>
    <w:p>
      <w:pPr>
        <w:wordWrap w:val="off"/>
        <w:spacing w:before="0" w:after="0" w:lineRule="exact" w:line="378"/>
        <w:ind w:firstLineChars="200"/>
        <w:jc w:val="left"/>
      </w:pPr>
      <w:r>
        <w:rPr>
          <w:rFonts w:ascii="宋体" w:hAnsi="宋体" w:cs="宋体" w:eastAsia="宋体"/>
          <w:color w:val="000000"/>
          <w:sz w:val="21"/>
        </w:rPr>
        <w:t>（4）质疑供应商名称、地址、联系方式；</w:t>
      </w:r>
    </w:p>
    <w:p>
      <w:pPr>
        <w:wordWrap w:val="off"/>
        <w:spacing w:before="0" w:after="0" w:lineRule="exact" w:line="378"/>
        <w:ind w:firstLineChars="200"/>
        <w:jc w:val="left"/>
      </w:pPr>
      <w:r>
        <w:rPr>
          <w:rFonts w:ascii="宋体" w:hAnsi="宋体" w:cs="宋体" w:eastAsia="宋体"/>
          <w:color w:val="000000"/>
          <w:sz w:val="21"/>
        </w:rPr>
        <w:t>（5）提起质疑的日期；</w:t>
      </w:r>
    </w:p>
    <w:p>
      <w:pPr>
        <w:wordWrap w:val="off"/>
        <w:spacing w:before="0" w:after="0" w:lineRule="exact" w:line="378"/>
        <w:ind w:firstLineChars="200"/>
        <w:jc w:val="left"/>
      </w:pPr>
      <w:r>
        <w:rPr>
          <w:rFonts w:ascii="宋体" w:hAnsi="宋体" w:cs="宋体" w:eastAsia="宋体"/>
          <w:color w:val="000000"/>
          <w:sz w:val="21"/>
        </w:rPr>
        <w:t>（6）质疑函应当署名：质疑人为自然人的，应当由本人签字并附有效身份证明；质疑人为法人或其他组织的，应当由法定代表人签署本人姓名或印盖本人姓名章并加盖单位公章，或法定代表人授权委托代理人加盖单位公章，并由参加采购项目的授权委托代理人签署本人姓名或印盖本人姓名章等。</w:t>
      </w:r>
    </w:p>
    <w:p>
      <w:pPr>
        <w:wordWrap w:val="off"/>
        <w:spacing w:before="0" w:after="0" w:lineRule="exact" w:line="378"/>
        <w:ind w:firstLineChars="200"/>
        <w:jc w:val="left"/>
      </w:pPr>
      <w:r>
        <w:rPr>
          <w:rFonts w:ascii="宋体" w:hAnsi="宋体" w:cs="宋体" w:eastAsia="宋体"/>
          <w:color w:val="000000"/>
          <w:sz w:val="21"/>
        </w:rPr>
        <w:t>30.4 质疑供应商是指直接参加本项目采购活动的供应商，未参加投标活动的供应商或在投标活动中自身权益未受到损害的供应商所提出的质疑不予受理。对磋商文件提出质疑的，为供应商收到采购文件之日起或采购公告期限届满之日计算；对采购过程提出质疑的，自采购程序环节结束之日起计算；对成交结果提出质疑的，自成交结果公告之日起计算。</w:t>
      </w:r>
    </w:p>
    <w:p>
      <w:pPr>
        <w:wordWrap w:val="off"/>
        <w:spacing w:before="0" w:after="0" w:lineRule="exact" w:line="378"/>
        <w:ind w:firstLineChars="200"/>
        <w:jc w:val="left"/>
      </w:pPr>
      <w:r>
        <w:rPr>
          <w:rFonts w:ascii="宋体" w:hAnsi="宋体" w:cs="宋体" w:eastAsia="宋体"/>
          <w:color w:val="000000"/>
          <w:sz w:val="21"/>
        </w:rPr>
        <w:t>30.5 供应商不得虚假质疑和恶意质疑，并对质疑内容的真实性承担责任。供应商或者其他利害关系人通过捏造事实、伪造证明材料等方式提出异议或投诉，阻碍采购活动正常进行的，属于严重不良行为，采购人将提请财政部门将其列入不良行为记录名单，并依法予以处罚。</w:t>
      </w:r>
    </w:p>
    <w:p>
      <w:pPr>
        <w:wordWrap w:val="off"/>
        <w:spacing w:before="0" w:after="0" w:lineRule="exact" w:line="378"/>
        <w:ind w:firstLineChars="200"/>
        <w:jc w:val="left"/>
      </w:pPr>
      <w:r>
        <w:rPr>
          <w:rFonts w:ascii="宋体" w:hAnsi="宋体" w:cs="宋体" w:eastAsia="宋体"/>
          <w:color w:val="000000"/>
          <w:sz w:val="21"/>
        </w:rPr>
        <w:t>30.6 采购人在收到供应商的书面质疑后七个工作日内做出答复，并以书面形式通知质疑供应商和其他有关供应商，答复的内容不涉及商业秘密。</w:t>
      </w:r>
    </w:p>
    <w:p>
      <w:pPr>
        <w:wordWrap w:val="off"/>
        <w:spacing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31</w:t>
      </w:r>
      <w:r>
        <w:rPr>
          <w:rFonts w:ascii="黑体" w:hAnsi="黑体" w:cs="黑体" w:eastAsia="黑体"/>
          <w:color w:val="000000"/>
          <w:sz w:val="28"/>
        </w:rPr>
        <w:t>、成交通知书</w:t>
      </w:r>
    </w:p>
    <w:p>
      <w:pPr>
        <w:wordWrap w:val="off"/>
        <w:spacing w:lineRule="exact" w:line="378"/>
        <w:ind w:firstLineChars="200"/>
        <w:jc w:val="left"/>
      </w:pPr>
      <w:r>
        <w:rPr>
          <w:rFonts w:ascii="宋体" w:hAnsi="宋体" w:cs="宋体" w:eastAsia="宋体"/>
          <w:color w:val="000000"/>
          <w:sz w:val="21"/>
        </w:rPr>
        <w:t>31.1 在响应文件有效期内，采购人以书面通知所选定的成交供应商。</w:t>
      </w:r>
    </w:p>
    <w:p>
      <w:pPr>
        <w:wordWrap w:val="off"/>
        <w:spacing w:before="0" w:after="0" w:lineRule="exact" w:line="378"/>
        <w:ind w:firstLineChars="200"/>
        <w:jc w:val="left"/>
      </w:pPr>
      <w:r>
        <w:rPr>
          <w:rFonts w:ascii="宋体" w:hAnsi="宋体" w:cs="宋体" w:eastAsia="宋体"/>
          <w:color w:val="000000"/>
          <w:sz w:val="21"/>
        </w:rPr>
        <w:t>31.2 成交供应商在收到成交通知书后，应郑重保证履行成交供应商应履行的一切义务和责任。</w:t>
      </w:r>
    </w:p>
    <w:p>
      <w:pPr>
        <w:wordWrap w:val="off"/>
        <w:spacing w:before="0" w:after="0" w:lineRule="exact" w:line="378"/>
        <w:ind w:firstLineChars="200"/>
        <w:jc w:val="left"/>
      </w:pPr>
      <w:r>
        <w:rPr>
          <w:rFonts w:ascii="宋体" w:hAnsi="宋体" w:cs="宋体" w:eastAsia="宋体"/>
          <w:color w:val="000000"/>
          <w:sz w:val="21"/>
        </w:rPr>
        <w:t>31.3 成交通知书将成为合同的组成部分。</w:t>
      </w:r>
    </w:p>
    <w:p>
      <w:pPr>
        <w:wordWrap w:val="off"/>
        <w:spacing w:before="0" w:after="0" w:lineRule="exact" w:line="378"/>
        <w:ind w:firstLineChars="200"/>
        <w:jc w:val="left"/>
      </w:pPr>
      <w:r>
        <w:rPr>
          <w:rFonts w:ascii="宋体" w:hAnsi="宋体" w:cs="宋体" w:eastAsia="宋体"/>
          <w:color w:val="000000"/>
          <w:sz w:val="21"/>
        </w:rPr>
        <w:t>31.4 采购人对未成交单位不承担解释未成交原因的义务。</w:t>
      </w:r>
    </w:p>
    <w:p>
      <w:pPr>
        <w:wordWrap w:val="off"/>
        <w:spacing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32</w:t>
      </w:r>
      <w:r>
        <w:rPr>
          <w:rFonts w:ascii="黑体" w:hAnsi="黑体" w:cs="黑体" w:eastAsia="黑体"/>
          <w:color w:val="000000"/>
          <w:sz w:val="28"/>
        </w:rPr>
        <w:t>、签订合同</w:t>
      </w:r>
    </w:p>
    <w:p>
      <w:pPr>
        <w:wordWrap w:val="off"/>
        <w:spacing w:lineRule="exact" w:line="378"/>
        <w:ind w:firstLineChars="200"/>
        <w:jc w:val="left"/>
      </w:pPr>
      <w:r>
        <w:rPr>
          <w:rFonts w:ascii="宋体" w:hAnsi="宋体" w:cs="宋体" w:eastAsia="宋体"/>
          <w:color w:val="000000"/>
          <w:sz w:val="21"/>
        </w:rPr>
        <w:t>32.1 成交供应商应当自成交通知书发出之日起</w:t>
      </w:r>
      <w:r>
        <w:rPr>
          <w:rFonts w:ascii="宋体" w:hAnsi="宋体" w:cs="宋体" w:eastAsia="宋体"/>
          <w:b w:val="true"/>
          <w:color w:val="ff0000"/>
          <w:sz w:val="21"/>
        </w:rPr>
        <w:t>7</w:t>
      </w:r>
      <w:r>
        <w:rPr>
          <w:rFonts w:ascii="宋体" w:hAnsi="宋体" w:cs="宋体" w:eastAsia="宋体"/>
          <w:color w:val="000000"/>
          <w:sz w:val="21"/>
        </w:rPr>
        <w:t>日内，按照竞争性磋商文件和成交供应商响应文件的约定与采购人签订采购合同，所签订的合同不得对竞争性磋商文件和成交供应商响应文件作实质性修改。</w:t>
      </w:r>
    </w:p>
    <w:p>
      <w:pPr>
        <w:wordWrap w:val="off"/>
        <w:spacing w:before="0" w:after="0" w:lineRule="exact" w:line="378"/>
        <w:ind w:firstLineChars="200"/>
        <w:jc w:val="left"/>
      </w:pPr>
      <w:r>
        <w:rPr>
          <w:rFonts w:ascii="宋体" w:hAnsi="宋体" w:cs="宋体" w:eastAsia="宋体"/>
          <w:color w:val="000000"/>
          <w:sz w:val="21"/>
        </w:rPr>
        <w:t>32.2 竞争性磋商文件中竞争性磋商技术规格及要求、合同条款、竞争性磋商函、开标一览表，响应产品技术条款偏离表、有关图表和说明等，均应作为合同附件。</w:t>
      </w:r>
    </w:p>
    <w:p>
      <w:pPr>
        <w:wordWrap w:val="off"/>
        <w:spacing w:before="0" w:after="0" w:lineRule="exact" w:line="378"/>
        <w:ind w:firstLineChars="200"/>
        <w:jc w:val="left"/>
      </w:pPr>
      <w:r>
        <w:rPr>
          <w:rFonts w:ascii="宋体" w:hAnsi="宋体" w:cs="宋体" w:eastAsia="宋体"/>
          <w:color w:val="000000"/>
          <w:sz w:val="21"/>
        </w:rPr>
        <w:t>32.3 若成交供应商未能按时签订合同，成交资格将被撤销及磋商保证金将不予退还，在这种情况下采购人可以另选成交供应商或重新竞争性磋商。</w:t>
      </w:r>
    </w:p>
    <w:p>
      <w:pPr>
        <w:wordWrap w:val="off"/>
        <w:spacing w:lineRule="exact" w:line="378"/>
        <w:jc w:val="left"/>
      </w:pPr>
    </w:p>
    <w:p>
      <w:pPr>
        <w:sectPr>
          <w:pgSz w:w="11907" w:h="16839" w:orient="portrait"/>
          <w:pgMar w:top="1077" w:right="1154" w:bottom="1077" w:left="1154"/>
        </w:sectPr>
      </w:pPr>
    </w:p>
    <w:p>
      <w:pPr>
        <w:wordWrap w:val="off"/>
        <w:spacing w:before="75" w:after="75"/>
        <w:jc w:val="center"/>
        <w:outlineLvl w:val="0"/>
      </w:pPr>
      <w:r>
        <w:rPr>
          <w:rFonts w:ascii="宋体" w:hAnsi="宋体" w:cs="宋体" w:eastAsia="宋体"/>
          <w:b w:val="true"/>
          <w:color w:val="000000"/>
          <w:sz w:val="40"/>
        </w:rPr>
        <w:t>第三章 项目需求</w:t>
      </w:r>
    </w:p>
    <w:p>
      <w:pPr>
        <w:wordWrap w:val="off"/>
        <w:spacing w:lineRule="exact" w:line="503"/>
        <w:jc w:val="left"/>
        <w:outlineLvl w:val="1"/>
      </w:pPr>
      <w:r>
        <w:rPr>
          <w:rFonts w:ascii="宋体" w:hAnsi="宋体" w:cs="宋体" w:eastAsia="宋体"/>
          <w:b w:val="true"/>
          <w:color w:val="000000"/>
          <w:sz w:val="28"/>
        </w:rPr>
        <w:t>一</w:t>
      </w:r>
      <w:r>
        <w:rPr>
          <w:rFonts w:ascii="宋体" w:hAnsi="宋体" w:cs="宋体" w:eastAsia="宋体"/>
          <w:b w:val="true"/>
          <w:color w:val="000000"/>
          <w:sz w:val="28"/>
        </w:rPr>
        <w:t>、采购清单</w:t>
      </w:r>
    </w:p>
    <w:p>
      <w:pPr>
        <w:spacing w:before="0" w:after="0" w:lineRule="exact" w:line="195"/>
      </w:pPr>
    </w:p>
    <w:tbl>
      <w:tblPr>
        <w:tblW w:w="0" w:type="auto"/>
        <w:tblBorders>
          <w:top w:val="single"/>
          <w:left w:val="single"/>
          <w:bottom w:val="single"/>
          <w:right w:val="single"/>
          <w:insideH w:val="single"/>
          <w:insideV w:val="single"/>
        </w:tblBorders>
      </w:tblPr>
      <w:tblPr>
        <w:tblW w:type="dxa" w:w="9585"/>
        <w:jc w:val="center"/>
        <w:tblBorders>
          <w:top w:val="nil"/>
          <w:left w:val="nil"/>
          <w:bottom w:val="nil"/>
          <w:right w:val="nil"/>
        </w:tblBorders>
      </w:tblPr>
      <w:tr>
        <w:trPr>
          <w:trHeight w:val="705"/>
        </w:trPr>
        <w:tc>
          <w:tcPr>
            <w:tcW w:type="dxa" w:w="52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序号</w:t>
            </w:r>
          </w:p>
        </w:tc>
        <w:tc>
          <w:tcPr>
            <w:tcW w:type="dxa" w:w="420"/>
            <w:tcBorders>
              <w:top w:val="single" w:sz="6"/>
              <w:left w:val="single" w:sz="6"/>
              <w:bottom w:val="nil"/>
              <w:right w:val="nil"/>
            </w:tcBorders>
            <w:tcMar>
              <w:top w:w="20" w:type="dxa"/>
              <w:left w:w="20" w:type="dxa"/>
              <w:bottom w:w="20" w:type="dxa"/>
              <w:right w:w="20" w:type="dxa"/>
            </w:tcMar>
            <w:vAlign w:val="center"/>
          </w:tcPr>
          <w:p>
            <w:pPr>
              <w:wordWrap w:val="off"/>
              <w:spacing w:lineRule="exact" w:line="273"/>
              <w:jc w:val="center"/>
            </w:pPr>
            <w:r>
              <w:rPr>
                <w:rFonts w:ascii="宋体" w:hAnsi="宋体" w:cs="宋体" w:eastAsia="宋体"/>
                <w:color w:val="000000"/>
                <w:sz w:val="21"/>
              </w:rPr>
              <w:t>名称</w:t>
            </w:r>
          </w:p>
        </w:tc>
        <w:tc>
          <w:tcPr>
            <w:tcW w:type="dxa" w:w="1605"/>
            <w:tcBorders>
              <w:top w:val="single" w:sz="6"/>
              <w:left w:val="single" w:sz="6"/>
              <w:bottom w:val="nil"/>
              <w:right w:val="nil"/>
            </w:tcBorders>
            <w:tcMar>
              <w:top w:w="20" w:type="dxa"/>
              <w:left w:w="20" w:type="dxa"/>
              <w:bottom w:w="20" w:type="dxa"/>
              <w:right w:w="20" w:type="dxa"/>
            </w:tcMar>
            <w:vAlign w:val="center"/>
          </w:tcPr>
          <w:p>
            <w:pPr>
              <w:wordWrap w:val="off"/>
              <w:spacing w:lineRule="exact" w:line="273"/>
              <w:jc w:val="center"/>
            </w:pPr>
            <w:r>
              <w:rPr>
                <w:rFonts w:ascii="宋体" w:hAnsi="宋体" w:cs="宋体" w:eastAsia="宋体"/>
                <w:color w:val="000000"/>
                <w:sz w:val="21"/>
              </w:rPr>
              <w:t>规格</w:t>
            </w:r>
          </w:p>
        </w:tc>
        <w:tc>
          <w:tcPr>
            <w:tcW w:type="dxa" w:w="615"/>
            <w:tcBorders>
              <w:top w:val="single" w:sz="6"/>
              <w:left w:val="single" w:sz="6"/>
              <w:bottom w:val="nil"/>
              <w:right w:val="nil"/>
            </w:tcBorders>
            <w:tcMar>
              <w:top w:w="20" w:type="dxa"/>
              <w:left w:w="20" w:type="dxa"/>
              <w:bottom w:w="20" w:type="dxa"/>
              <w:right w:w="20" w:type="dxa"/>
            </w:tcMar>
            <w:vAlign w:val="center"/>
          </w:tcPr>
          <w:p>
            <w:pPr>
              <w:wordWrap w:val="off"/>
              <w:spacing w:lineRule="exact" w:line="273"/>
              <w:jc w:val="center"/>
            </w:pPr>
            <w:r>
              <w:rPr>
                <w:rFonts w:ascii="宋体" w:hAnsi="宋体" w:cs="宋体" w:eastAsia="宋体"/>
                <w:color w:val="000000"/>
                <w:sz w:val="21"/>
              </w:rPr>
              <w:t>数量</w:t>
            </w:r>
          </w:p>
        </w:tc>
        <w:tc>
          <w:tcPr>
            <w:tcW w:type="dxa" w:w="555"/>
            <w:tcBorders>
              <w:top w:val="single" w:sz="6"/>
              <w:left w:val="single" w:sz="6"/>
              <w:bottom w:val="nil"/>
              <w:right w:val="nil"/>
            </w:tcBorders>
            <w:tcMar>
              <w:top w:w="20" w:type="dxa"/>
              <w:left w:w="20" w:type="dxa"/>
              <w:bottom w:w="20" w:type="dxa"/>
              <w:right w:w="20" w:type="dxa"/>
            </w:tcMar>
            <w:vAlign w:val="center"/>
          </w:tcPr>
          <w:p>
            <w:pPr>
              <w:wordWrap w:val="off"/>
              <w:spacing w:lineRule="exact" w:line="273"/>
              <w:jc w:val="center"/>
            </w:pPr>
            <w:r>
              <w:rPr>
                <w:rFonts w:ascii="宋体" w:hAnsi="宋体" w:cs="宋体" w:eastAsia="宋体"/>
                <w:color w:val="000000"/>
                <w:sz w:val="21"/>
              </w:rPr>
              <w:t>单位</w:t>
            </w:r>
          </w:p>
        </w:tc>
        <w:tc>
          <w:tcPr>
            <w:tcW w:type="dxa" w:w="4635"/>
            <w:tcBorders>
              <w:top w:val="single" w:sz="6"/>
              <w:left w:val="single" w:sz="6"/>
              <w:bottom w:val="nil"/>
              <w:right w:val="nil"/>
            </w:tcBorders>
            <w:tcMar>
              <w:top w:w="20" w:type="dxa"/>
              <w:left w:w="20" w:type="dxa"/>
              <w:bottom w:w="20" w:type="dxa"/>
              <w:right w:w="20" w:type="dxa"/>
            </w:tcMar>
            <w:vAlign w:val="center"/>
          </w:tcPr>
          <w:p>
            <w:pPr>
              <w:wordWrap w:val="off"/>
              <w:spacing w:lineRule="exact" w:line="273"/>
              <w:jc w:val="center"/>
            </w:pPr>
            <w:r>
              <w:rPr>
                <w:rFonts w:ascii="宋体" w:hAnsi="宋体" w:cs="宋体" w:eastAsia="宋体"/>
                <w:color w:val="000000"/>
                <w:sz w:val="21"/>
              </w:rPr>
              <w:t>产品要求</w:t>
            </w:r>
          </w:p>
        </w:tc>
        <w:tc>
          <w:tcPr>
            <w:tcW w:type="dxa" w:w="615"/>
            <w:tcBorders>
              <w:top w:val="single" w:sz="6"/>
              <w:left w:val="single" w:sz="6"/>
              <w:bottom w:val="nil"/>
              <w:right w:val="nil"/>
            </w:tcBorders>
            <w:tcMar>
              <w:top w:w="20" w:type="dxa"/>
              <w:left w:w="20" w:type="dxa"/>
              <w:bottom w:w="20" w:type="dxa"/>
              <w:right w:w="20" w:type="dxa"/>
            </w:tcMar>
            <w:vAlign w:val="center"/>
          </w:tcPr>
          <w:p>
            <w:pPr>
              <w:wordWrap w:val="off"/>
              <w:spacing w:lineRule="exact" w:line="273"/>
              <w:jc w:val="center"/>
            </w:pPr>
            <w:r>
              <w:rPr>
                <w:rFonts w:ascii="宋体" w:hAnsi="宋体" w:cs="宋体" w:eastAsia="宋体"/>
                <w:color w:val="000000"/>
                <w:sz w:val="21"/>
              </w:rPr>
              <w:t>进口</w:t>
            </w:r>
          </w:p>
          <w:p>
            <w:pPr>
              <w:wordWrap w:val="off"/>
              <w:spacing w:before="0" w:after="0" w:lineRule="exact" w:line="273"/>
              <w:jc w:val="center"/>
            </w:pPr>
            <w:r>
              <w:rPr>
                <w:rFonts w:ascii="宋体" w:hAnsi="宋体" w:cs="宋体" w:eastAsia="宋体"/>
                <w:color w:val="000000"/>
                <w:sz w:val="21"/>
              </w:rPr>
              <w:t>产品</w:t>
            </w:r>
          </w:p>
        </w:tc>
        <w:tc>
          <w:tcPr>
            <w:tcW w:type="dxa" w:w="615"/>
            <w:tcBorders>
              <w:top w:val="single" w:sz="6"/>
              <w:left w:val="single" w:sz="6"/>
              <w:bottom w:val="nil"/>
              <w:right w:val="single" w:sz="6"/>
            </w:tcBorders>
            <w:tcMar>
              <w:top w:w="20" w:type="dxa"/>
              <w:left w:w="20" w:type="dxa"/>
              <w:bottom w:w="20" w:type="dxa"/>
              <w:right w:w="20" w:type="dxa"/>
            </w:tcMar>
            <w:vAlign w:val="center"/>
          </w:tcPr>
          <w:p>
            <w:pPr>
              <w:wordWrap w:val="off"/>
              <w:spacing w:lineRule="exact" w:line="273"/>
              <w:jc w:val="center"/>
            </w:pPr>
            <w:r>
              <w:rPr>
                <w:rFonts w:ascii="宋体" w:hAnsi="宋体" w:cs="宋体" w:eastAsia="宋体"/>
                <w:color w:val="000000"/>
                <w:sz w:val="21"/>
              </w:rPr>
              <w:t>核心</w:t>
            </w:r>
          </w:p>
          <w:p>
            <w:pPr>
              <w:wordWrap w:val="off"/>
              <w:spacing w:before="0" w:after="0" w:lineRule="exact" w:line="273"/>
              <w:jc w:val="center"/>
            </w:pPr>
            <w:r>
              <w:rPr>
                <w:rFonts w:ascii="宋体" w:hAnsi="宋体" w:cs="宋体" w:eastAsia="宋体"/>
                <w:color w:val="000000"/>
                <w:sz w:val="21"/>
              </w:rPr>
              <w:t>产品</w:t>
            </w:r>
          </w:p>
        </w:tc>
      </w:tr>
      <w:tr>
        <w:trPr>
          <w:trHeight w:val="360"/>
        </w:trPr>
        <w:tc>
          <w:tcPr>
            <w:tcW w:type="dxa" w:w="52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1</w:t>
            </w:r>
          </w:p>
        </w:tc>
        <w:tc>
          <w:tcPr>
            <w:tcW w:type="dxa" w:w="420"/>
            <w:tcBorders>
              <w:top w:val="single" w:sz="6"/>
              <w:left w:val="single" w:sz="6"/>
              <w:bottom w:val="nil"/>
              <w:right w:val="nil"/>
            </w:tcBorders>
            <w:tcMar>
              <w:top w:w="20" w:type="dxa"/>
              <w:left w:w="20" w:type="dxa"/>
              <w:bottom w:w="20" w:type="dxa"/>
              <w:right w:w="20" w:type="dxa"/>
            </w:tcMar>
            <w:vAlign w:val="center"/>
          </w:tcPr>
          <w:p>
            <w:pPr>
              <w:wordWrap w:val="off"/>
              <w:spacing w:lineRule="exact" w:line="273"/>
              <w:jc w:val="left"/>
            </w:pPr>
            <w:r>
              <w:rPr>
                <w:rFonts w:ascii="宋体" w:hAnsi="宋体" w:cs="宋体" w:eastAsia="宋体"/>
                <w:color w:val="000000"/>
                <w:sz w:val="21"/>
              </w:rPr>
              <w:t>WEB资源发布系统</w:t>
            </w:r>
          </w:p>
        </w:tc>
        <w:tc>
          <w:tcPr>
            <w:tcW w:type="dxa" w:w="1605"/>
            <w:tcBorders>
              <w:top w:val="single" w:sz="6"/>
              <w:left w:val="single" w:sz="6"/>
              <w:bottom w:val="nil"/>
              <w:right w:val="nil"/>
            </w:tcBorders>
            <w:tcMar>
              <w:top w:w="20" w:type="dxa"/>
              <w:left w:w="20" w:type="dxa"/>
              <w:bottom w:w="20" w:type="dxa"/>
              <w:right w:w="20" w:type="dxa"/>
            </w:tcMar>
            <w:vAlign w:val="center"/>
          </w:tcPr>
          <w:p>
            <w:pPr>
              <w:wordWrap w:val="off"/>
              <w:spacing w:lineRule="exact" w:line="273"/>
              <w:jc w:val="left"/>
            </w:pPr>
            <w:r>
              <w:rPr>
                <w:rFonts w:ascii="宋体" w:hAnsi="宋体" w:cs="宋体" w:eastAsia="宋体"/>
                <w:color w:val="000000"/>
                <w:sz w:val="21"/>
              </w:rPr>
              <w:t>1. 选型指标: 300个资源发布点，20K并发请求数</w:t>
            </w:r>
          </w:p>
          <w:p>
            <w:pPr>
              <w:wordWrap w:val="off"/>
              <w:spacing w:before="0" w:after="0" w:lineRule="exact" w:line="273"/>
              <w:jc w:val="left"/>
            </w:pPr>
            <w:r>
              <w:rPr>
                <w:rFonts w:ascii="宋体" w:hAnsi="宋体" w:cs="宋体" w:eastAsia="宋体"/>
                <w:color w:val="000000"/>
                <w:sz w:val="21"/>
              </w:rPr>
              <w:t>2. 硬件配置: 2U，双电源，内存32G，存储SSD盘1T，接口8电、4万兆光、1扩展</w:t>
            </w:r>
          </w:p>
          <w:p>
            <w:pPr>
              <w:wordWrap w:val="off"/>
              <w:spacing w:before="0" w:after="0" w:lineRule="exact" w:line="273"/>
              <w:jc w:val="left"/>
            </w:pPr>
            <w:r>
              <w:rPr>
                <w:rFonts w:ascii="宋体" w:hAnsi="宋体" w:cs="宋体" w:eastAsia="宋体"/>
                <w:color w:val="000000"/>
                <w:sz w:val="21"/>
              </w:rPr>
              <w:t>3 实施服务: 设备安装、调试、培训</w:t>
            </w:r>
          </w:p>
          <w:p>
            <w:pPr>
              <w:wordWrap w:val="off"/>
              <w:spacing w:before="0" w:after="0" w:lineRule="exact" w:line="273"/>
              <w:jc w:val="left"/>
            </w:pPr>
            <w:r>
              <w:rPr>
                <w:rFonts w:ascii="宋体" w:hAnsi="宋体" w:cs="宋体" w:eastAsia="宋体"/>
                <w:color w:val="000000"/>
                <w:sz w:val="21"/>
              </w:rPr>
              <w:t>4. 维保和技术支持时长: 3年</w:t>
            </w:r>
          </w:p>
        </w:tc>
        <w:tc>
          <w:tcPr>
            <w:tcW w:type="dxa" w:w="61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2</w:t>
            </w:r>
          </w:p>
        </w:tc>
        <w:tc>
          <w:tcPr>
            <w:tcW w:type="dxa" w:w="555"/>
            <w:tcBorders>
              <w:top w:val="single" w:sz="6"/>
              <w:left w:val="single" w:sz="6"/>
              <w:bottom w:val="nil"/>
              <w:right w:val="nil"/>
            </w:tcBorders>
            <w:tcMar>
              <w:top w:w="20" w:type="dxa"/>
              <w:left w:w="20" w:type="dxa"/>
              <w:bottom w:w="20" w:type="dxa"/>
              <w:right w:w="20" w:type="dxa"/>
            </w:tcMar>
            <w:vAlign w:val="center"/>
          </w:tcPr>
          <w:p>
            <w:pPr>
              <w:wordWrap w:val="off"/>
              <w:spacing w:lineRule="exact" w:line="273"/>
              <w:jc w:val="center"/>
            </w:pPr>
            <w:r>
              <w:rPr>
                <w:rFonts w:ascii="宋体" w:hAnsi="宋体" w:cs="宋体" w:eastAsia="宋体"/>
                <w:color w:val="000000"/>
                <w:sz w:val="21"/>
              </w:rPr>
              <w:t>台</w:t>
            </w:r>
          </w:p>
        </w:tc>
        <w:tc>
          <w:tcPr>
            <w:tcW w:type="dxa" w:w="4635"/>
            <w:tcBorders>
              <w:top w:val="single" w:sz="6"/>
              <w:left w:val="single" w:sz="6"/>
              <w:bottom w:val="nil"/>
              <w:right w:val="nil"/>
            </w:tcBorders>
            <w:tcMar>
              <w:top w:w="20" w:type="dxa"/>
              <w:left w:w="20" w:type="dxa"/>
              <w:bottom w:w="20" w:type="dxa"/>
              <w:right w:w="20" w:type="dxa"/>
            </w:tcMar>
            <w:vAlign w:val="center"/>
          </w:tcPr>
          <w:p>
            <w:pPr>
              <w:wordWrap w:val="off"/>
              <w:spacing w:lineRule="exact" w:line="273"/>
              <w:jc w:val="left"/>
            </w:pPr>
            <w:r>
              <w:rPr>
                <w:rFonts w:ascii="宋体" w:hAnsi="宋体" w:cs="宋体" w:eastAsia="宋体"/>
                <w:color w:val="000000"/>
                <w:sz w:val="21"/>
              </w:rPr>
              <w:t>应实现对资源的统一发布与管理，包括灵活的资源访问控制策略管理，资源安全策略管理及相关审计，资源状态实时监控告警，以及基于全量日志的多维度统计分析；支持IPv6，支持v4站点转v6 ，资源管理，证书管理，发布管理。</w:t>
            </w:r>
          </w:p>
        </w:tc>
        <w:tc>
          <w:tcPr>
            <w:tcW w:type="dxa" w:w="615"/>
            <w:tcBorders>
              <w:top w:val="single" w:sz="6"/>
              <w:left w:val="single" w:sz="6"/>
              <w:bottom w:val="nil"/>
              <w:right w:val="nil"/>
            </w:tcBorders>
            <w:tcMar>
              <w:top w:w="20" w:type="dxa"/>
              <w:left w:w="20" w:type="dxa"/>
              <w:bottom w:w="20" w:type="dxa"/>
              <w:right w:w="20" w:type="dxa"/>
            </w:tcMar>
            <w:vAlign w:val="center"/>
          </w:tcPr>
          <w:p>
            <w:pPr>
              <w:wordWrap w:val="off"/>
              <w:spacing w:lineRule="exact" w:line="273"/>
              <w:jc w:val="center"/>
            </w:pPr>
            <w:r>
              <w:rPr>
                <w:rFonts w:ascii="宋体" w:hAnsi="宋体" w:cs="宋体" w:eastAsia="宋体"/>
                <w:color w:val="000000"/>
                <w:sz w:val="21"/>
              </w:rPr>
              <w:t>不接受</w:t>
            </w:r>
          </w:p>
        </w:tc>
        <w:tc>
          <w:tcPr>
            <w:tcW w:type="dxa" w:w="615"/>
            <w:tcBorders>
              <w:top w:val="single" w:sz="6"/>
              <w:left w:val="single" w:sz="6"/>
              <w:bottom w:val="nil"/>
              <w:right w:val="single" w:sz="6"/>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是</w:t>
            </w:r>
          </w:p>
        </w:tc>
      </w:tr>
      <w:tr>
        <w:trPr>
          <w:trHeight w:val="30" w:hRule="exact"/>
        </w:trPr>
        <w:tc>
          <w:tcPr>
            <w:tcW w:type="dxa" w:w="525"/>
            <w:tcBorders>
              <w:top w:val="single" w:sz="6"/>
              <w:left w:val="nil"/>
              <w:bottom w:val="nil"/>
              <w:right w:val="nil"/>
            </w:tcBorders>
            <w:tcMar>
              <w:top w:w="20" w:type="dxa"/>
              <w:left w:w="20" w:type="dxa"/>
              <w:bottom w:w="20" w:type="dxa"/>
              <w:right w:w="20" w:type="dxa"/>
            </w:tcMar>
          </w:tcPr>
          <w:p>
            <w:pPr>
              <w:wordWrap w:val="off"/>
            </w:pPr>
          </w:p>
        </w:tc>
        <w:tc>
          <w:tcPr>
            <w:tcW w:type="dxa" w:w="420"/>
            <w:tcBorders>
              <w:top w:val="single" w:sz="6"/>
              <w:left w:val="nil"/>
              <w:bottom w:val="nil"/>
              <w:right w:val="nil"/>
            </w:tcBorders>
            <w:tcMar>
              <w:top w:w="20" w:type="dxa"/>
              <w:left w:w="20" w:type="dxa"/>
              <w:bottom w:w="20" w:type="dxa"/>
              <w:right w:w="20" w:type="dxa"/>
            </w:tcMar>
          </w:tcPr>
          <w:p>
            <w:pPr>
              <w:wordWrap w:val="off"/>
            </w:pPr>
          </w:p>
        </w:tc>
        <w:tc>
          <w:tcPr>
            <w:tcW w:type="dxa" w:w="1605"/>
            <w:tcBorders>
              <w:top w:val="single" w:sz="6"/>
              <w:left w:val="nil"/>
              <w:bottom w:val="nil"/>
              <w:right w:val="nil"/>
            </w:tcBorders>
            <w:tcMar>
              <w:top w:w="20" w:type="dxa"/>
              <w:left w:w="20" w:type="dxa"/>
              <w:bottom w:w="20" w:type="dxa"/>
              <w:right w:w="20" w:type="dxa"/>
            </w:tcMar>
          </w:tcPr>
          <w:p>
            <w:pPr>
              <w:wordWrap w:val="off"/>
            </w:pPr>
          </w:p>
        </w:tc>
        <w:tc>
          <w:tcPr>
            <w:tcW w:type="dxa" w:w="615"/>
            <w:tcBorders>
              <w:top w:val="single" w:sz="6"/>
              <w:left w:val="nil"/>
              <w:bottom w:val="nil"/>
              <w:right w:val="nil"/>
            </w:tcBorders>
            <w:tcMar>
              <w:top w:w="20" w:type="dxa"/>
              <w:left w:w="20" w:type="dxa"/>
              <w:bottom w:w="20" w:type="dxa"/>
              <w:right w:w="20" w:type="dxa"/>
            </w:tcMar>
          </w:tcPr>
          <w:p>
            <w:pPr>
              <w:wordWrap w:val="off"/>
            </w:pPr>
          </w:p>
        </w:tc>
        <w:tc>
          <w:tcPr>
            <w:tcW w:type="dxa" w:w="555"/>
            <w:tcBorders>
              <w:top w:val="single" w:sz="6"/>
              <w:left w:val="nil"/>
              <w:bottom w:val="nil"/>
              <w:right w:val="nil"/>
            </w:tcBorders>
            <w:tcMar>
              <w:top w:w="20" w:type="dxa"/>
              <w:left w:w="20" w:type="dxa"/>
              <w:bottom w:w="20" w:type="dxa"/>
              <w:right w:w="20" w:type="dxa"/>
            </w:tcMar>
          </w:tcPr>
          <w:p>
            <w:pPr>
              <w:wordWrap w:val="off"/>
            </w:pPr>
          </w:p>
        </w:tc>
        <w:tc>
          <w:tcPr>
            <w:tcW w:type="dxa" w:w="4635"/>
            <w:tcBorders>
              <w:top w:val="single" w:sz="6"/>
              <w:left w:val="nil"/>
              <w:bottom w:val="nil"/>
              <w:right w:val="nil"/>
            </w:tcBorders>
            <w:tcMar>
              <w:top w:w="20" w:type="dxa"/>
              <w:left w:w="20" w:type="dxa"/>
              <w:bottom w:w="20" w:type="dxa"/>
              <w:right w:w="20" w:type="dxa"/>
            </w:tcMar>
          </w:tcPr>
          <w:p>
            <w:pPr>
              <w:wordWrap w:val="off"/>
            </w:pPr>
          </w:p>
        </w:tc>
        <w:tc>
          <w:tcPr>
            <w:tcW w:type="dxa" w:w="615"/>
            <w:tcBorders>
              <w:top w:val="single" w:sz="6"/>
              <w:left w:val="nil"/>
              <w:bottom w:val="nil"/>
              <w:right w:val="nil"/>
            </w:tcBorders>
            <w:tcMar>
              <w:top w:w="20" w:type="dxa"/>
              <w:left w:w="20" w:type="dxa"/>
              <w:bottom w:w="20" w:type="dxa"/>
              <w:right w:w="20" w:type="dxa"/>
            </w:tcMar>
          </w:tcPr>
          <w:p>
            <w:pPr>
              <w:wordWrap w:val="off"/>
            </w:pPr>
          </w:p>
        </w:tc>
        <w:tc>
          <w:tcPr>
            <w:tcW w:type="dxa" w:w="615"/>
            <w:tcBorders>
              <w:top w:val="single" w:sz="6"/>
              <w:left w:val="nil"/>
              <w:bottom w:val="nil"/>
              <w:right w:val="nil"/>
            </w:tcBorders>
            <w:tcMar>
              <w:top w:w="20" w:type="dxa"/>
              <w:left w:w="20" w:type="dxa"/>
              <w:bottom w:w="20" w:type="dxa"/>
              <w:right w:w="20" w:type="dxa"/>
            </w:tcMar>
          </w:tcPr>
          <w:p>
            <w:pPr>
              <w:wordWrap w:val="off"/>
            </w:pPr>
          </w:p>
        </w:tc>
      </w:tr>
    </w:tbl>
    <w:p>
      <w:pPr>
        <w:spacing w:before="0" w:after="0" w:lineRule="exact" w:line="195"/>
      </w:pPr>
    </w:p>
    <w:p>
      <w:pPr>
        <w:wordWrap w:val="off"/>
        <w:spacing w:lineRule="exact" w:line="503"/>
        <w:jc w:val="left"/>
        <w:outlineLvl w:val="1"/>
      </w:pPr>
      <w:r>
        <w:rPr>
          <w:rFonts w:ascii="宋体" w:hAnsi="宋体" w:cs="宋体" w:eastAsia="宋体"/>
          <w:b w:val="true"/>
          <w:color w:val="000000"/>
          <w:sz w:val="28"/>
        </w:rPr>
        <w:t>二</w:t>
      </w:r>
      <w:r>
        <w:rPr>
          <w:rFonts w:ascii="宋体" w:hAnsi="宋体" w:cs="宋体" w:eastAsia="宋体"/>
          <w:b w:val="true"/>
          <w:color w:val="000000"/>
          <w:sz w:val="28"/>
        </w:rPr>
        <w:t>、技术参数（标准）</w:t>
      </w:r>
    </w:p>
    <w:tbl>
      <w:tblPr>
        <w:tblW w:w="0" w:type="auto"/>
        <w:tblBorders>
          <w:top w:val="single"/>
          <w:left w:val="single"/>
          <w:bottom w:val="single"/>
          <w:right w:val="single"/>
          <w:insideH w:val="single"/>
          <w:insideV w:val="single"/>
        </w:tblBorders>
      </w:tblPr>
      <w:tblPr>
        <w:jc w:val="center"/>
        <w:tblBorders>
          <w:top w:sz="6" w:val="single" w:color="000000"/>
          <w:left w:sz="6" w:val="single" w:color="000000"/>
          <w:bottom w:sz="6" w:val="single" w:color="000000"/>
          <w:right w:sz="6" w:val="single" w:color="000000"/>
        </w:tblBorders>
      </w:tblPr>
      <w:tr>
        <w:trPr>
          <w:trHeight w:val="300"/>
        </w:trPr>
        <w:tc>
          <w:tcPr>
            <w:tcW w:type="dxa" w:w="9180"/>
            <w:hMerge w:val="restart"/>
            <w:tcBorders>
              <w:top w:val="none"/>
              <w:left w:val="none"/>
              <w:bottom w:val="single" w:sz="6" w:color="000000"/>
              <w:right w:val="nil"/>
            </w:tcBorders>
            <w:vAlign w:val="center"/>
          </w:tcPr>
          <w:p>
            <w:pPr>
              <w:wordWrap w:val="off"/>
              <w:spacing w:lineRule="exact" w:line="378"/>
              <w:jc w:val="center"/>
            </w:pPr>
            <w:r>
              <w:rPr>
                <w:rFonts w:ascii="SimSun" w:hAnsi="SimSun" w:cs="SimSun" w:eastAsia="SimSun"/>
                <w:color w:val="000000"/>
                <w:sz w:val="21"/>
              </w:rPr>
              <w:t>整体要求</w:t>
            </w:r>
          </w:p>
        </w:tc>
        <w:tc>
          <w:tcPr>
            <w:tcW w:type="dxa" w:w="9180"/>
            <w:hMerge w:val="continue"/>
            <w:tcBorders>
              <w:top w:val="none"/>
              <w:left w:val="nil"/>
              <w:bottom w:val="single" w:sz="6" w:color="000000"/>
              <w:right w:val="nil"/>
            </w:tcBorders>
          </w:tcPr>
          <w:p/>
        </w:tc>
        <w:tc>
          <w:tcPr>
            <w:tcW w:type="dxa" w:w="9180"/>
            <w:hMerge w:val="continue"/>
            <w:tcBorders>
              <w:top w:val="none"/>
              <w:left w:val="nil"/>
              <w:bottom w:val="single" w:sz="6" w:color="000000"/>
              <w:right w:val="none"/>
            </w:tcBorders>
          </w:tcPr>
          <w:p/>
        </w:tc>
      </w:tr>
      <w:tr>
        <w:trPr>
          <w:trHeight w:val="300"/>
        </w:trPr>
        <w:tc>
          <w:tcPr>
            <w:tcW w:type="dxa" w:w="690"/>
            <w:tcBorders>
              <w:top w:val="nil"/>
              <w:left w:val="none"/>
              <w:bottom w:val="single" w:sz="6" w:color="000000"/>
              <w:right w:val="single" w:sz="6" w:color="000000"/>
            </w:tcBorders>
            <w:vAlign w:val="center"/>
          </w:tcPr>
          <w:p>
            <w:pPr>
              <w:wordWrap w:val="off"/>
              <w:spacing w:lineRule="exact" w:line="378"/>
              <w:jc w:val="center"/>
            </w:pPr>
            <w:r>
              <w:rPr>
                <w:rFonts w:ascii="SimSun" w:hAnsi="SimSun" w:cs="SimSun" w:eastAsia="SimSun"/>
                <w:color w:val="000000"/>
                <w:sz w:val="21"/>
              </w:rPr>
              <w:t>1</w:t>
            </w:r>
          </w:p>
        </w:tc>
        <w:tc>
          <w:tcPr>
            <w:tcW w:type="dxa" w:w="1815"/>
            <w:tcBorders>
              <w:top w:val="nil"/>
              <w:left w:val="nil"/>
              <w:bottom w:val="single" w:sz="6" w:color="000000"/>
              <w:right w:val="single" w:sz="6" w:color="000000"/>
            </w:tcBorders>
            <w:vAlign w:val="center"/>
          </w:tcPr>
          <w:p>
            <w:pPr>
              <w:wordWrap w:val="off"/>
              <w:spacing w:lineRule="exact" w:line="378"/>
              <w:jc w:val="center"/>
            </w:pPr>
            <w:r>
              <w:rPr>
                <w:rFonts w:ascii="SimSun" w:hAnsi="SimSun" w:cs="SimSun" w:eastAsia="SimSun"/>
                <w:color w:val="000000"/>
                <w:sz w:val="21"/>
              </w:rPr>
              <w:t>整体要求</w:t>
            </w:r>
          </w:p>
        </w:tc>
        <w:tc>
          <w:tcPr>
            <w:tcW w:type="dxa" w:w="6675"/>
            <w:tcBorders>
              <w:top w:val="nil"/>
              <w:left w:val="nil"/>
              <w:bottom w:val="single" w:sz="6" w:color="000000"/>
              <w:right w:val="none"/>
            </w:tcBorders>
            <w:vAlign w:val="center"/>
          </w:tcPr>
          <w:p>
            <w:pPr>
              <w:wordWrap w:val="off"/>
              <w:spacing w:lineRule="exact" w:line="378"/>
              <w:jc w:val="left"/>
            </w:pPr>
            <w:r>
              <w:rPr>
                <w:rFonts w:ascii="SimSun" w:hAnsi="SimSun" w:cs="SimSun" w:eastAsia="SimSun"/>
                <w:color w:val="000000"/>
                <w:sz w:val="21"/>
              </w:rPr>
              <w:t>系统应实现对资源的统一发布与管理，包括灵活的资源访问控制策略管理，资源安全策略管理及相关审计，资源状态实时监控告警，以及基于全量日志的多维度统计分析。</w:t>
            </w:r>
          </w:p>
        </w:tc>
      </w:tr>
      <w:tr>
        <w:trPr>
          <w:trHeight w:val="300"/>
        </w:trPr>
        <w:tc>
          <w:tcPr>
            <w:tcW w:type="dxa" w:w="9180"/>
            <w:hMerge w:val="restart"/>
            <w:tcBorders>
              <w:top w:val="nil"/>
              <w:left w:val="none"/>
              <w:bottom w:val="single" w:sz="6" w:color="000000"/>
              <w:right w:val="nil"/>
            </w:tcBorders>
            <w:vAlign w:val="center"/>
          </w:tcPr>
          <w:p>
            <w:pPr>
              <w:wordWrap w:val="off"/>
              <w:spacing w:lineRule="exact" w:line="378"/>
              <w:jc w:val="center"/>
            </w:pPr>
            <w:r>
              <w:rPr>
                <w:rFonts w:ascii="SimSun" w:hAnsi="SimSun" w:cs="SimSun" w:eastAsia="SimSun"/>
                <w:color w:val="000000"/>
                <w:sz w:val="21"/>
              </w:rPr>
              <w:t>配置项要求</w:t>
            </w:r>
          </w:p>
        </w:tc>
        <w:tc>
          <w:tcPr>
            <w:tcW w:type="dxa" w:w="9180"/>
            <w:hMerge w:val="continue"/>
            <w:tcBorders>
              <w:top w:val="nil"/>
              <w:left w:val="nil"/>
              <w:bottom w:val="single" w:sz="6" w:color="000000"/>
              <w:right w:val="nil"/>
            </w:tcBorders>
          </w:tcPr>
          <w:p/>
        </w:tc>
        <w:tc>
          <w:tcPr>
            <w:tcW w:type="dxa" w:w="9180"/>
            <w:hMerge w:val="continue"/>
            <w:tcBorders>
              <w:top w:val="nil"/>
              <w:left w:val="nil"/>
              <w:bottom w:val="single" w:sz="6" w:color="000000"/>
              <w:right w:val="none"/>
            </w:tcBorders>
          </w:tcPr>
          <w:p/>
        </w:tc>
      </w:tr>
      <w:tr>
        <w:trPr>
          <w:trHeight w:val="300"/>
        </w:trPr>
        <w:tc>
          <w:tcPr>
            <w:tcW w:type="dxa" w:w="690"/>
            <w:tcBorders>
              <w:top w:val="nil"/>
              <w:left w:val="none"/>
              <w:bottom w:val="single" w:sz="6" w:color="000000"/>
              <w:right w:val="single" w:sz="6" w:color="000000"/>
            </w:tcBorders>
            <w:vAlign w:val="center"/>
          </w:tcPr>
          <w:p>
            <w:pPr>
              <w:wordWrap w:val="off"/>
              <w:spacing w:lineRule="exact" w:line="378"/>
              <w:jc w:val="center"/>
            </w:pPr>
            <w:r>
              <w:rPr>
                <w:rFonts w:ascii="SimSun" w:hAnsi="SimSun" w:cs="SimSun" w:eastAsia="SimSun"/>
                <w:color w:val="000000"/>
                <w:sz w:val="21"/>
              </w:rPr>
              <w:t>1</w:t>
            </w:r>
          </w:p>
        </w:tc>
        <w:tc>
          <w:tcPr>
            <w:tcW w:type="dxa" w:w="1815"/>
            <w:tcBorders>
              <w:top w:val="nil"/>
              <w:left w:val="nil"/>
              <w:bottom w:val="single" w:sz="6" w:color="000000"/>
              <w:right w:val="single" w:sz="6" w:color="000000"/>
            </w:tcBorders>
            <w:vAlign w:val="center"/>
          </w:tcPr>
          <w:p>
            <w:pPr>
              <w:wordWrap w:val="off"/>
              <w:spacing w:lineRule="exact" w:line="378"/>
              <w:jc w:val="center"/>
            </w:pPr>
            <w:r>
              <w:rPr>
                <w:rFonts w:ascii="SimSun" w:hAnsi="SimSun" w:cs="SimSun" w:eastAsia="SimSun"/>
                <w:color w:val="000000"/>
                <w:sz w:val="21"/>
              </w:rPr>
              <w:t>配置项要求</w:t>
            </w:r>
          </w:p>
        </w:tc>
        <w:tc>
          <w:tcPr>
            <w:tcW w:type="dxa" w:w="6675"/>
            <w:tcBorders>
              <w:top w:val="nil"/>
              <w:left w:val="nil"/>
              <w:bottom w:val="single" w:sz="6" w:color="000000"/>
              <w:right w:val="none"/>
            </w:tcBorders>
            <w:vAlign w:val="center"/>
          </w:tcPr>
          <w:p>
            <w:pPr>
              <w:wordWrap w:val="off"/>
              <w:spacing w:lineRule="exact" w:line="378"/>
              <w:ind w:leftChars="350"/>
              <w:jc w:val="left"/>
            </w:pPr>
            <w:r>
              <w:rPr>
                <w:rFonts w:ascii="SimSun" w:hAnsi="SimSun" w:cs="SimSun" w:eastAsia="SimSun"/>
                <w:color w:val="000000"/>
                <w:sz w:val="21"/>
              </w:rPr>
              <w:t xml:space="preserve">1.     </w:t>
            </w:r>
            <w:r>
              <w:rPr>
                <w:rFonts w:ascii="宋体" w:hAnsi="宋体" w:cs="宋体" w:eastAsia="宋体"/>
                <w:color w:val="000000"/>
                <w:sz w:val="21"/>
              </w:rPr>
              <w:t>要求提供硬件规格为2U机架设备；</w:t>
            </w:r>
          </w:p>
          <w:p>
            <w:pPr>
              <w:wordWrap w:val="off"/>
              <w:spacing w:lineRule="exact" w:line="378"/>
              <w:ind w:leftChars="400"/>
              <w:jc w:val="left"/>
            </w:pPr>
            <w:r>
              <w:rPr>
                <w:rFonts w:ascii="宋体" w:hAnsi="宋体" w:cs="宋体" w:eastAsia="宋体"/>
                <w:color w:val="000000"/>
                <w:sz w:val="21"/>
              </w:rPr>
              <w:t>DDR4内存≥32G；</w:t>
            </w:r>
          </w:p>
          <w:p>
            <w:pPr>
              <w:wordWrap w:val="off"/>
              <w:spacing w:lineRule="exact" w:line="378"/>
              <w:ind w:leftChars="400"/>
              <w:jc w:val="left"/>
            </w:pPr>
            <w:r>
              <w:rPr>
                <w:rFonts w:ascii="宋体" w:hAnsi="宋体" w:cs="宋体" w:eastAsia="宋体"/>
                <w:color w:val="000000"/>
                <w:sz w:val="21"/>
              </w:rPr>
              <w:t>双电源，每个电源功率≥120W，电源输入：AC100-240V；</w:t>
            </w:r>
          </w:p>
          <w:p>
            <w:pPr>
              <w:wordWrap w:val="off"/>
              <w:spacing w:lineRule="exact" w:line="378"/>
              <w:ind w:leftChars="400"/>
              <w:jc w:val="left"/>
            </w:pPr>
            <w:r>
              <w:rPr>
                <w:rFonts w:ascii="宋体" w:hAnsi="宋体" w:cs="宋体" w:eastAsia="宋体"/>
                <w:color w:val="000000"/>
                <w:sz w:val="21"/>
              </w:rPr>
              <w:t>8个千兆电口、4个万兆光口、1个扩展槽；</w:t>
            </w:r>
          </w:p>
          <w:p>
            <w:pPr>
              <w:wordWrap w:val="off"/>
              <w:spacing w:lineRule="exact" w:line="378"/>
              <w:ind w:leftChars="400"/>
              <w:jc w:val="left"/>
            </w:pPr>
            <w:r>
              <w:rPr>
                <w:rFonts w:ascii="宋体" w:hAnsi="宋体" w:cs="宋体" w:eastAsia="宋体"/>
                <w:color w:val="000000"/>
                <w:sz w:val="21"/>
              </w:rPr>
              <w:t>SSD硬盘容量≥1TB。</w:t>
            </w:r>
          </w:p>
          <w:p>
            <w:pPr>
              <w:wordWrap w:val="off"/>
              <w:spacing w:lineRule="exact" w:line="378"/>
              <w:jc w:val="left"/>
            </w:pPr>
            <w:r>
              <w:rPr>
                <w:rFonts w:ascii="宋体" w:hAnsi="宋体" w:cs="宋体" w:eastAsia="宋体"/>
                <w:color w:val="000000"/>
                <w:sz w:val="21"/>
              </w:rPr>
              <w:t>2. 要求系统授权支持管理≥300个网站。</w:t>
            </w:r>
          </w:p>
        </w:tc>
      </w:tr>
      <w:tr>
        <w:trPr>
          <w:trHeight w:val="300"/>
        </w:trPr>
        <w:tc>
          <w:tcPr>
            <w:tcW w:type="dxa" w:w="9180"/>
            <w:hMerge w:val="restart"/>
            <w:tcBorders>
              <w:top w:val="nil"/>
              <w:left w:val="none"/>
              <w:bottom w:val="single" w:sz="6" w:color="000000"/>
              <w:right w:val="nil"/>
            </w:tcBorders>
            <w:vAlign w:val="center"/>
          </w:tcPr>
          <w:p>
            <w:pPr>
              <w:wordWrap w:val="off"/>
              <w:spacing w:lineRule="exact" w:line="378"/>
              <w:jc w:val="center"/>
            </w:pPr>
            <w:r>
              <w:rPr>
                <w:rFonts w:ascii="SimSun" w:hAnsi="SimSun" w:cs="SimSun" w:eastAsia="SimSun"/>
                <w:color w:val="000000"/>
                <w:sz w:val="21"/>
              </w:rPr>
              <w:t>功能要求</w:t>
            </w:r>
          </w:p>
        </w:tc>
        <w:tc>
          <w:tcPr>
            <w:tcW w:type="dxa" w:w="9180"/>
            <w:hMerge w:val="continue"/>
            <w:tcBorders>
              <w:top w:val="nil"/>
              <w:left w:val="nil"/>
              <w:bottom w:val="single" w:sz="6" w:color="000000"/>
              <w:right w:val="nil"/>
            </w:tcBorders>
          </w:tcPr>
          <w:p/>
        </w:tc>
        <w:tc>
          <w:tcPr>
            <w:tcW w:type="dxa" w:w="9180"/>
            <w:hMerge w:val="continue"/>
            <w:tcBorders>
              <w:top w:val="nil"/>
              <w:left w:val="nil"/>
              <w:bottom w:val="single" w:sz="6" w:color="000000"/>
              <w:right w:val="none"/>
            </w:tcBorders>
          </w:tcPr>
          <w:p/>
        </w:tc>
      </w:tr>
      <w:tr>
        <w:trPr>
          <w:trHeight w:val="300"/>
        </w:trPr>
        <w:tc>
          <w:tcPr>
            <w:tcW w:type="dxa" w:w="690"/>
            <w:tcBorders>
              <w:top w:val="nil"/>
              <w:left w:val="none"/>
              <w:bottom w:val="single" w:sz="6" w:color="000000"/>
              <w:right w:val="single" w:sz="6" w:color="000000"/>
            </w:tcBorders>
            <w:vAlign w:val="center"/>
          </w:tcPr>
          <w:p>
            <w:pPr>
              <w:wordWrap w:val="off"/>
              <w:spacing w:lineRule="exact" w:line="378"/>
              <w:jc w:val="center"/>
            </w:pPr>
            <w:r>
              <w:rPr>
                <w:rFonts w:ascii="SimSun" w:hAnsi="SimSun" w:cs="SimSun" w:eastAsia="SimSun"/>
                <w:color w:val="000000"/>
                <w:sz w:val="21"/>
              </w:rPr>
              <w:t>1</w:t>
            </w:r>
          </w:p>
        </w:tc>
        <w:tc>
          <w:tcPr>
            <w:tcW w:type="dxa" w:w="1815"/>
            <w:tcBorders>
              <w:top w:val="nil"/>
              <w:left w:val="nil"/>
              <w:bottom w:val="single" w:sz="6" w:color="000000"/>
              <w:right w:val="single" w:sz="6" w:color="000000"/>
            </w:tcBorders>
            <w:vAlign w:val="center"/>
          </w:tcPr>
          <w:p>
            <w:pPr>
              <w:wordWrap w:val="off"/>
              <w:spacing w:lineRule="exact" w:line="378"/>
              <w:jc w:val="center"/>
            </w:pPr>
            <w:r>
              <w:rPr>
                <w:rFonts w:ascii="SimSun" w:hAnsi="SimSun" w:cs="SimSun" w:eastAsia="SimSun"/>
                <w:color w:val="000000"/>
                <w:sz w:val="21"/>
              </w:rPr>
              <w:t>资源管理要求</w:t>
            </w:r>
          </w:p>
        </w:tc>
        <w:tc>
          <w:tcPr>
            <w:tcW w:type="dxa" w:w="6675"/>
            <w:tcBorders>
              <w:top w:val="nil"/>
              <w:left w:val="nil"/>
              <w:bottom w:val="single" w:sz="6" w:color="000000"/>
              <w:right w:val="none"/>
            </w:tcBorders>
            <w:vAlign w:val="center"/>
          </w:tcPr>
          <w:p>
            <w:pPr>
              <w:wordWrap w:val="off"/>
              <w:spacing w:lineRule="exact" w:line="378"/>
              <w:ind w:leftChars="200"/>
              <w:jc w:val="left"/>
            </w:pPr>
            <w:r>
              <w:rPr>
                <w:rFonts w:ascii="宋体" w:hAnsi="宋体" w:cs="宋体" w:eastAsia="宋体"/>
                <w:color w:val="000000"/>
                <w:sz w:val="21"/>
              </w:rPr>
              <w:t>1. 支持对网站资源进行发布，支持HTTP、HTTPS协议资源发布， 支持用户自定义IPv4或IPv6的方式，支持通过URL的路径对资源进行发布。</w:t>
            </w:r>
          </w:p>
          <w:p>
            <w:pPr>
              <w:wordWrap w:val="off"/>
              <w:spacing w:lineRule="exact" w:line="378"/>
              <w:ind w:leftChars="200"/>
              <w:jc w:val="left"/>
            </w:pPr>
            <w:r>
              <w:rPr>
                <w:rFonts w:ascii="宋体" w:hAnsi="宋体" w:cs="宋体" w:eastAsia="宋体"/>
                <w:color w:val="000000"/>
                <w:sz w:val="21"/>
              </w:rPr>
              <w:t>2. 支持发布WebSocket协议的后端网站，支持发布NTLM协议的后端网站并透传认证信息。</w:t>
            </w:r>
          </w:p>
          <w:p>
            <w:pPr>
              <w:wordWrap w:val="off"/>
              <w:spacing w:lineRule="exact" w:line="378"/>
              <w:ind w:leftChars="200"/>
              <w:jc w:val="left"/>
            </w:pPr>
            <w:r>
              <w:rPr>
                <w:rFonts w:ascii="宋体" w:hAnsi="宋体" w:cs="宋体" w:eastAsia="宋体"/>
                <w:color w:val="000000"/>
                <w:sz w:val="21"/>
              </w:rPr>
              <w:t>3. ★支持资源的批量操作，包括但不限于批量导入导出、批量删除、批量发布/关闭网站、批量修改分组、批量定义错误页面、批量修改访问策略、批量修改备案信息、批量启用/关闭HTTPS、批量修改v4/v6发布、批量修改负载均衡、批量修改SSL算法、批量修改网站标签、批量修改缓存加速配置。（要求提供产品功能截图证明）</w:t>
            </w:r>
          </w:p>
          <w:p>
            <w:pPr>
              <w:wordWrap w:val="off"/>
              <w:spacing w:lineRule="exact" w:line="378"/>
              <w:ind w:leftChars="200"/>
              <w:jc w:val="left"/>
            </w:pPr>
            <w:r>
              <w:rPr>
                <w:rFonts w:ascii="宋体" w:hAnsi="宋体" w:cs="宋体" w:eastAsia="宋体"/>
                <w:color w:val="000000"/>
                <w:sz w:val="21"/>
              </w:rPr>
              <w:t>4. 支持对资源的自定义分组及分级，并支持资源通过树状分组结构进行展现； 支持通过标签对资源进行管理，单个资源可设置多个标签，单个标签可应用到多个资源上。</w:t>
            </w:r>
          </w:p>
          <w:p>
            <w:pPr>
              <w:wordWrap w:val="off"/>
              <w:spacing w:lineRule="exact" w:line="378"/>
              <w:ind w:leftChars="200"/>
              <w:jc w:val="left"/>
            </w:pPr>
            <w:r>
              <w:rPr>
                <w:rFonts w:ascii="宋体" w:hAnsi="宋体" w:cs="宋体" w:eastAsia="宋体"/>
                <w:color w:val="000000"/>
                <w:sz w:val="21"/>
              </w:rPr>
              <w:t>5. 支持资源生命周期管理，支持用户自定义资源备案信息，支持用户自主添加自定义字段；支持资源到期时自动告警，支持资源到期后自动停止发布。</w:t>
            </w:r>
          </w:p>
          <w:p>
            <w:pPr>
              <w:wordWrap w:val="off"/>
              <w:spacing w:lineRule="exact" w:line="378"/>
              <w:ind w:leftChars="200"/>
              <w:jc w:val="left"/>
            </w:pPr>
            <w:r>
              <w:rPr>
                <w:rFonts w:ascii="宋体" w:hAnsi="宋体" w:cs="宋体" w:eastAsia="宋体"/>
                <w:color w:val="000000"/>
                <w:sz w:val="21"/>
              </w:rPr>
              <w:t>6. 支持HTTPS类型Web资源的证书管理，支持系统内自建证书，支持自动合并多条证书生成完整证书链。</w:t>
            </w:r>
          </w:p>
          <w:p>
            <w:pPr>
              <w:wordWrap w:val="off"/>
              <w:spacing w:lineRule="exact" w:line="378"/>
              <w:ind w:leftChars="200"/>
              <w:jc w:val="left"/>
            </w:pPr>
            <w:r>
              <w:rPr>
                <w:rFonts w:ascii="宋体" w:hAnsi="宋体" w:cs="宋体" w:eastAsia="宋体"/>
                <w:color w:val="000000"/>
                <w:sz w:val="21"/>
              </w:rPr>
              <w:t>7. 支持对资源的全部网页进行备份，支持自定义备份的生成时间及周期，支持对备份数据偏离正常范围时进行告警。</w:t>
            </w:r>
          </w:p>
          <w:p>
            <w:pPr>
              <w:wordWrap w:val="off"/>
              <w:spacing w:lineRule="exact" w:line="378"/>
              <w:ind w:leftChars="200"/>
              <w:jc w:val="left"/>
            </w:pPr>
            <w:r>
              <w:rPr>
                <w:rFonts w:ascii="宋体" w:hAnsi="宋体" w:cs="宋体" w:eastAsia="宋体"/>
                <w:color w:val="000000"/>
                <w:sz w:val="21"/>
              </w:rPr>
              <w:t>8. 支持指定不同IP来源用户通过相同域名或路径时访问不同的后端。</w:t>
            </w:r>
          </w:p>
          <w:p>
            <w:pPr>
              <w:wordWrap w:val="off"/>
              <w:spacing w:lineRule="exact" w:line="378"/>
              <w:ind w:leftChars="200"/>
              <w:jc w:val="left"/>
            </w:pPr>
            <w:r>
              <w:rPr>
                <w:rFonts w:ascii="宋体" w:hAnsi="宋体" w:cs="宋体" w:eastAsia="宋体"/>
                <w:color w:val="000000"/>
                <w:sz w:val="21"/>
              </w:rPr>
              <w:t>9. 支持对单个资源进行网页代码优化，减少单次数据传输流量，优化功能包括但不限于空白区域压缩、DNS预加载、图片延迟加载、移除HTML注释。</w:t>
            </w:r>
          </w:p>
          <w:p>
            <w:pPr>
              <w:wordWrap w:val="off"/>
              <w:spacing w:lineRule="exact" w:line="378"/>
              <w:ind w:leftChars="200"/>
              <w:jc w:val="left"/>
            </w:pPr>
            <w:r>
              <w:rPr>
                <w:rFonts w:ascii="宋体" w:hAnsi="宋体" w:cs="宋体" w:eastAsia="宋体"/>
                <w:color w:val="000000"/>
                <w:sz w:val="21"/>
              </w:rPr>
              <w:t>10. 支持对后端资源文件进行缓存，支持类型包括但不限于图片、视频、CSS/JS代码，支持自定义硬盘缓存或高速缓存，支持自定义缓存空间大小，提升系统整体性能。</w:t>
            </w:r>
          </w:p>
          <w:p>
            <w:pPr>
              <w:wordWrap w:val="off"/>
              <w:spacing w:lineRule="exact" w:line="378"/>
              <w:ind w:leftChars="200"/>
              <w:jc w:val="left"/>
            </w:pPr>
            <w:r>
              <w:rPr>
                <w:rFonts w:ascii="宋体" w:hAnsi="宋体" w:cs="宋体" w:eastAsia="宋体"/>
                <w:color w:val="000000"/>
                <w:sz w:val="21"/>
              </w:rPr>
              <w:t>11. 支持对后端网站进行负载均衡，支持基于IP哈希、会话保持和基于负载的负载均衡调度方式；支持主动检测后端健康状态自动切换负载均衡服务器；支持负载均衡服务器组管理；支持负载均衡备份服务器，当运行负载均衡服务器都失效时启用。</w:t>
            </w:r>
          </w:p>
          <w:p>
            <w:pPr>
              <w:wordWrap w:val="off"/>
              <w:spacing w:lineRule="exact" w:line="378"/>
              <w:ind w:leftChars="200"/>
              <w:jc w:val="left"/>
            </w:pPr>
            <w:r>
              <w:rPr>
                <w:rFonts w:ascii="宋体" w:hAnsi="宋体" w:cs="宋体" w:eastAsia="宋体"/>
                <w:color w:val="000000"/>
                <w:sz w:val="21"/>
              </w:rPr>
              <w:t>12. 支持对启用负载均衡的网站进行统一可视化管理，支持对负载均衡相关指标进行统计以及展现，指标包括但不限于流量以及请求速率。</w:t>
            </w:r>
          </w:p>
          <w:p>
            <w:pPr>
              <w:wordWrap w:val="off"/>
              <w:spacing w:lineRule="exact" w:line="378"/>
              <w:ind w:leftChars="200"/>
              <w:jc w:val="left"/>
            </w:pPr>
            <w:r>
              <w:rPr>
                <w:rFonts w:ascii="宋体" w:hAnsi="宋体" w:cs="宋体" w:eastAsia="宋体"/>
                <w:color w:val="000000"/>
                <w:sz w:val="21"/>
              </w:rPr>
              <w:t>13. 支持对后端资源的HTTP响应头和Body响应体内容修改后返回给用户，支持向后端发送自定义HTTP请求头。</w:t>
            </w:r>
          </w:p>
          <w:p>
            <w:pPr>
              <w:wordWrap w:val="off"/>
              <w:spacing w:lineRule="exact" w:line="378"/>
              <w:ind w:leftChars="200"/>
              <w:jc w:val="left"/>
            </w:pPr>
            <w:r>
              <w:rPr>
                <w:rFonts w:ascii="宋体" w:hAnsi="宋体" w:cs="宋体" w:eastAsia="宋体"/>
                <w:color w:val="000000"/>
                <w:sz w:val="21"/>
              </w:rPr>
              <w:t>14. 支持通过微信对资源一键断网。</w:t>
            </w:r>
          </w:p>
          <w:p>
            <w:pPr>
              <w:wordWrap w:val="off"/>
              <w:spacing w:lineRule="exact" w:line="378"/>
              <w:ind w:leftChars="200"/>
              <w:jc w:val="left"/>
            </w:pPr>
            <w:r>
              <w:rPr>
                <w:rFonts w:ascii="宋体" w:hAnsi="宋体" w:cs="宋体" w:eastAsia="宋体"/>
                <w:color w:val="000000"/>
                <w:sz w:val="21"/>
              </w:rPr>
              <w:t>15. 支持联动DNS系统进行资源发布，即发布资源时同步DNS域名配置，支持A、AAAA、CNAME记录的同步；支持联动DNS服务器签发通配符可信证书。</w:t>
            </w:r>
          </w:p>
          <w:p>
            <w:pPr>
              <w:wordWrap w:val="off"/>
              <w:spacing w:lineRule="exact" w:line="378"/>
              <w:ind w:leftChars="200"/>
              <w:jc w:val="left"/>
            </w:pPr>
            <w:r>
              <w:rPr>
                <w:rFonts w:ascii="宋体" w:hAnsi="宋体" w:cs="宋体" w:eastAsia="宋体"/>
                <w:color w:val="000000"/>
                <w:sz w:val="21"/>
              </w:rPr>
              <w:t>16. 提供IPv6评分检测服务，对用户全网IPv6支持程度进行检测，计算IPv6支持度，并根据IPv6评分检测结果进行整改。</w:t>
            </w:r>
          </w:p>
          <w:p>
            <w:pPr>
              <w:wordWrap w:val="off"/>
              <w:spacing w:lineRule="exact" w:line="378"/>
              <w:ind w:leftChars="200"/>
              <w:jc w:val="left"/>
            </w:pPr>
            <w:r>
              <w:rPr>
                <w:rFonts w:ascii="宋体" w:hAnsi="宋体" w:cs="宋体" w:eastAsia="宋体"/>
                <w:color w:val="000000"/>
                <w:sz w:val="21"/>
              </w:rPr>
              <w:t>17. ★提供云证书管理平台以代理签发可信证书，避免因网络问题导致的无法申请证书，支持通过云平台自动续签证书。（要求提供产品功能截图证明）</w:t>
            </w:r>
          </w:p>
        </w:tc>
      </w:tr>
      <w:tr>
        <w:trPr>
          <w:trHeight w:val="300"/>
        </w:trPr>
        <w:tc>
          <w:tcPr>
            <w:tcW w:type="dxa" w:w="690"/>
            <w:tcBorders>
              <w:top w:val="nil"/>
              <w:left w:val="none"/>
              <w:bottom w:val="single" w:sz="6" w:color="000000"/>
              <w:right w:val="single" w:sz="6" w:color="000000"/>
            </w:tcBorders>
            <w:vAlign w:val="center"/>
          </w:tcPr>
          <w:p>
            <w:pPr>
              <w:wordWrap w:val="off"/>
              <w:spacing w:lineRule="exact" w:line="378"/>
              <w:jc w:val="center"/>
            </w:pPr>
            <w:r>
              <w:rPr>
                <w:rFonts w:ascii="SimSun" w:hAnsi="SimSun" w:cs="SimSun" w:eastAsia="SimSun"/>
                <w:color w:val="000000"/>
                <w:sz w:val="21"/>
              </w:rPr>
              <w:t>2</w:t>
            </w:r>
          </w:p>
        </w:tc>
        <w:tc>
          <w:tcPr>
            <w:tcW w:type="dxa" w:w="1815"/>
            <w:tcBorders>
              <w:top w:val="nil"/>
              <w:left w:val="nil"/>
              <w:bottom w:val="single" w:sz="6" w:color="000000"/>
              <w:right w:val="single" w:sz="6" w:color="000000"/>
            </w:tcBorders>
            <w:vAlign w:val="center"/>
          </w:tcPr>
          <w:p>
            <w:pPr>
              <w:wordWrap w:val="off"/>
              <w:spacing w:lineRule="exact" w:line="378"/>
              <w:jc w:val="center"/>
            </w:pPr>
            <w:r>
              <w:rPr>
                <w:rFonts w:ascii="SimSun" w:hAnsi="SimSun" w:cs="SimSun" w:eastAsia="SimSun"/>
                <w:color w:val="000000"/>
                <w:sz w:val="21"/>
              </w:rPr>
              <w:t>访问控制要求</w:t>
            </w:r>
          </w:p>
        </w:tc>
        <w:tc>
          <w:tcPr>
            <w:tcW w:type="dxa" w:w="6675"/>
            <w:tcBorders>
              <w:top w:val="nil"/>
              <w:left w:val="nil"/>
              <w:bottom w:val="single" w:sz="6" w:color="000000"/>
              <w:right w:val="none"/>
            </w:tcBorders>
            <w:vAlign w:val="center"/>
          </w:tcPr>
          <w:p>
            <w:pPr>
              <w:wordWrap w:val="off"/>
              <w:spacing w:lineRule="exact" w:line="378"/>
              <w:ind w:leftChars="200"/>
              <w:jc w:val="left"/>
            </w:pPr>
            <w:r>
              <w:rPr>
                <w:rFonts w:ascii="宋体" w:hAnsi="宋体" w:cs="宋体" w:eastAsia="宋体"/>
                <w:color w:val="000000"/>
                <w:sz w:val="21"/>
              </w:rPr>
              <w:t>1. 支持对资源进行访问控制， 支持根据资源URL路径进行访问控制；支持对管理网站的后台路径只允许校内访问、校外禁止场景。</w:t>
            </w:r>
          </w:p>
          <w:p>
            <w:pPr>
              <w:wordWrap w:val="off"/>
              <w:spacing w:lineRule="exact" w:line="378"/>
              <w:ind w:leftChars="200"/>
              <w:jc w:val="left"/>
            </w:pPr>
            <w:r>
              <w:rPr>
                <w:rFonts w:ascii="宋体" w:hAnsi="宋体" w:cs="宋体" w:eastAsia="宋体"/>
                <w:color w:val="000000"/>
                <w:sz w:val="21"/>
              </w:rPr>
              <w:t>2. ★访问控制方式包括直接访问、认证访问、禁止访问、镜像访问；认证访问为用户进行认证后继续访问，镜像访问为完全阻断后端资源数据流量同时提供网页查看服务；访问控制对象包括但不限于IP组，认证用户组。（要求提供产品功能截图证明）</w:t>
            </w:r>
          </w:p>
          <w:p>
            <w:pPr>
              <w:wordWrap w:val="off"/>
              <w:spacing w:lineRule="exact" w:line="378"/>
              <w:ind w:leftChars="200"/>
              <w:jc w:val="left"/>
            </w:pPr>
            <w:r>
              <w:rPr>
                <w:rFonts w:ascii="宋体" w:hAnsi="宋体" w:cs="宋体" w:eastAsia="宋体"/>
                <w:color w:val="000000"/>
                <w:sz w:val="21"/>
              </w:rPr>
              <w:t>3. ★支持配置策略有效期，支持设置每年定期生效、每周定日生效的、每天定时生效的访问策略； 支持对策略有效期进行统一管理；支持策略更改进行历史记录，并支持策略更改撤回操作。（要求提供产品功能截图证明）</w:t>
            </w:r>
          </w:p>
          <w:p>
            <w:pPr>
              <w:wordWrap w:val="off"/>
              <w:spacing w:lineRule="exact" w:line="378"/>
              <w:ind w:leftChars="200"/>
              <w:jc w:val="left"/>
            </w:pPr>
            <w:r>
              <w:rPr>
                <w:rFonts w:ascii="宋体" w:hAnsi="宋体" w:cs="宋体" w:eastAsia="宋体"/>
                <w:color w:val="000000"/>
                <w:sz w:val="21"/>
              </w:rPr>
              <w:t>4. 支持根据HTTP头设置访问策略，支持匹配中的HTTP头中的键和值的请求放通白名单访问。</w:t>
            </w:r>
          </w:p>
          <w:p>
            <w:pPr>
              <w:wordWrap w:val="off"/>
              <w:spacing w:lineRule="exact" w:line="378"/>
              <w:ind w:leftChars="200"/>
              <w:jc w:val="left"/>
            </w:pPr>
            <w:r>
              <w:rPr>
                <w:rFonts w:ascii="宋体" w:hAnsi="宋体" w:cs="宋体" w:eastAsia="宋体"/>
                <w:color w:val="000000"/>
                <w:sz w:val="21"/>
              </w:rPr>
              <w:t>5. IP组支持国内IP组，国内IP范围信息支持自动更新；IP组支持恶意IP库，恶意IP库支持自动更新。</w:t>
            </w:r>
          </w:p>
          <w:p>
            <w:pPr>
              <w:wordWrap w:val="off"/>
              <w:spacing w:lineRule="exact" w:line="378"/>
              <w:ind w:leftChars="200"/>
              <w:jc w:val="left"/>
            </w:pPr>
            <w:r>
              <w:rPr>
                <w:rFonts w:ascii="宋体" w:hAnsi="宋体" w:cs="宋体" w:eastAsia="宋体"/>
                <w:color w:val="000000"/>
                <w:sz w:val="21"/>
              </w:rPr>
              <w:t>6. 支持本地用户存储和管理，支持对接外部认证系统，包括但不限于LDAP、RADIUS、OAuth、CAS、企业微信、钉钉、短信、微信，支持对认证用户进行分组，支持对LDAP、RADIUS、OAuth、CAS、企业微信、钉钉设置不同分组规则。</w:t>
            </w:r>
          </w:p>
          <w:p>
            <w:pPr>
              <w:wordWrap w:val="off"/>
              <w:spacing w:lineRule="exact" w:line="378"/>
              <w:ind w:leftChars="200"/>
              <w:jc w:val="left"/>
            </w:pPr>
            <w:r>
              <w:rPr>
                <w:rFonts w:ascii="宋体" w:hAnsi="宋体" w:cs="宋体" w:eastAsia="宋体"/>
                <w:color w:val="000000"/>
                <w:sz w:val="21"/>
              </w:rPr>
              <w:t>7. 支持对不同资源设置不同的认证页面，支持对不同资源设置不同的外部认证方式。</w:t>
            </w:r>
          </w:p>
          <w:p>
            <w:pPr>
              <w:wordWrap w:val="off"/>
              <w:spacing w:lineRule="exact" w:line="378"/>
              <w:ind w:leftChars="200"/>
              <w:jc w:val="left"/>
            </w:pPr>
            <w:r>
              <w:rPr>
                <w:rFonts w:ascii="宋体" w:hAnsi="宋体" w:cs="宋体" w:eastAsia="宋体"/>
                <w:color w:val="000000"/>
                <w:sz w:val="21"/>
              </w:rPr>
              <w:t>8. 支持动态禁止频繁登录失败的用户再次尝试，支持自定义认证失败频率的阈值以及再次登陆的时间。</w:t>
            </w:r>
          </w:p>
          <w:p>
            <w:pPr>
              <w:wordWrap w:val="off"/>
              <w:spacing w:lineRule="exact" w:line="378"/>
              <w:ind w:leftChars="200"/>
              <w:jc w:val="left"/>
            </w:pPr>
            <w:r>
              <w:rPr>
                <w:rFonts w:ascii="宋体" w:hAnsi="宋体" w:cs="宋体" w:eastAsia="宋体"/>
                <w:color w:val="000000"/>
                <w:sz w:val="21"/>
              </w:rPr>
              <w:t>9. 支持临时账号管理，支持用户账号设置有效期。</w:t>
            </w:r>
          </w:p>
          <w:p>
            <w:pPr>
              <w:wordWrap w:val="off"/>
              <w:spacing w:lineRule="exact" w:line="378"/>
              <w:jc w:val="left"/>
            </w:pPr>
            <w:r>
              <w:rPr>
                <w:rFonts w:ascii="宋体" w:hAnsi="宋体" w:cs="宋体" w:eastAsia="宋体"/>
                <w:color w:val="000000"/>
                <w:sz w:val="21"/>
              </w:rPr>
              <w:t>10. 支持对单个资源或集群中全部资源访问进行速率限制，支持对部分IP组设置白名单解除限制；支持对不同用户终端类型设置不同速率限制。</w:t>
            </w:r>
          </w:p>
        </w:tc>
      </w:tr>
      <w:tr>
        <w:trPr>
          <w:trHeight w:val="300"/>
        </w:trPr>
        <w:tc>
          <w:tcPr>
            <w:tcW w:type="dxa" w:w="690"/>
            <w:tcBorders>
              <w:top w:val="nil"/>
              <w:left w:val="none"/>
              <w:bottom w:val="single" w:sz="6" w:color="000000"/>
              <w:right w:val="single" w:sz="6" w:color="000000"/>
            </w:tcBorders>
            <w:vAlign w:val="center"/>
          </w:tcPr>
          <w:p>
            <w:pPr>
              <w:wordWrap w:val="off"/>
              <w:spacing w:lineRule="exact" w:line="378"/>
              <w:jc w:val="center"/>
            </w:pPr>
            <w:r>
              <w:rPr>
                <w:rFonts w:ascii="SimSun" w:hAnsi="SimSun" w:cs="SimSun" w:eastAsia="SimSun"/>
                <w:color w:val="000000"/>
                <w:sz w:val="21"/>
              </w:rPr>
              <w:t>3</w:t>
            </w:r>
          </w:p>
        </w:tc>
        <w:tc>
          <w:tcPr>
            <w:tcW w:type="dxa" w:w="1815"/>
            <w:tcBorders>
              <w:top w:val="nil"/>
              <w:left w:val="nil"/>
              <w:bottom w:val="single" w:sz="6" w:color="000000"/>
              <w:right w:val="single" w:sz="6" w:color="000000"/>
            </w:tcBorders>
            <w:vAlign w:val="center"/>
          </w:tcPr>
          <w:p>
            <w:pPr>
              <w:wordWrap w:val="off"/>
              <w:spacing w:lineRule="exact" w:line="378"/>
              <w:jc w:val="center"/>
            </w:pPr>
            <w:r>
              <w:rPr>
                <w:rFonts w:ascii="SimSun" w:hAnsi="SimSun" w:cs="SimSun" w:eastAsia="SimSun"/>
                <w:color w:val="000000"/>
                <w:sz w:val="21"/>
              </w:rPr>
              <w:t>监控告警</w:t>
            </w:r>
          </w:p>
        </w:tc>
        <w:tc>
          <w:tcPr>
            <w:tcW w:type="dxa" w:w="6675"/>
            <w:tcBorders>
              <w:top w:val="nil"/>
              <w:left w:val="nil"/>
              <w:bottom w:val="single" w:sz="6" w:color="000000"/>
              <w:right w:val="none"/>
            </w:tcBorders>
            <w:vAlign w:val="center"/>
          </w:tcPr>
          <w:p>
            <w:pPr>
              <w:wordWrap w:val="off"/>
              <w:spacing w:lineRule="exact" w:line="378"/>
              <w:ind w:leftChars="200"/>
              <w:jc w:val="left"/>
            </w:pPr>
            <w:r>
              <w:rPr>
                <w:rFonts w:ascii="宋体" w:hAnsi="宋体" w:cs="宋体" w:eastAsia="宋体"/>
                <w:color w:val="000000"/>
                <w:sz w:val="21"/>
              </w:rPr>
              <w:t>1. 支持对资源的可达性进行监控，支持对不活跃（僵尸网站）网站进行监控，支持对网站证书有效期进行监控；支持对全部网站的访问状态通过蜂窝图类型进行展示，运维人员可以直观的了解到全部网站的运行状态。</w:t>
            </w:r>
          </w:p>
          <w:p>
            <w:pPr>
              <w:wordWrap w:val="off"/>
              <w:spacing w:lineRule="exact" w:line="378"/>
              <w:ind w:leftChars="200"/>
              <w:jc w:val="left"/>
            </w:pPr>
            <w:r>
              <w:rPr>
                <w:rFonts w:ascii="宋体" w:hAnsi="宋体" w:cs="宋体" w:eastAsia="宋体"/>
                <w:color w:val="000000"/>
                <w:sz w:val="21"/>
              </w:rPr>
              <w:t>2. 支持通过AI智能算法对网站无法访问的原因进行分析，并给出具体的修改建议。</w:t>
            </w:r>
          </w:p>
          <w:p>
            <w:pPr>
              <w:wordWrap w:val="off"/>
              <w:spacing w:lineRule="exact" w:line="378"/>
              <w:ind w:leftChars="200"/>
              <w:jc w:val="left"/>
            </w:pPr>
            <w:r>
              <w:rPr>
                <w:rFonts w:ascii="宋体" w:hAnsi="宋体" w:cs="宋体" w:eastAsia="宋体"/>
                <w:color w:val="000000"/>
                <w:sz w:val="21"/>
              </w:rPr>
              <w:t>3. 支持通过短信、邮件向管理员发送告警通知消息； 支持通过微信告警服务平台发送告警通知消息，只需关注即可使用；</w:t>
            </w:r>
          </w:p>
          <w:p>
            <w:pPr>
              <w:wordWrap w:val="off"/>
              <w:spacing w:lineRule="exact" w:line="378"/>
              <w:jc w:val="left"/>
            </w:pPr>
            <w:r>
              <w:rPr>
                <w:rFonts w:ascii="宋体" w:hAnsi="宋体" w:cs="宋体" w:eastAsia="宋体"/>
                <w:color w:val="000000"/>
                <w:sz w:val="21"/>
              </w:rPr>
              <w:t>4. 支持每个网站资源设置不同的可达性告警等级，支持每个网站的告警发送至网站具体责任人。</w:t>
            </w:r>
          </w:p>
        </w:tc>
      </w:tr>
      <w:tr>
        <w:trPr>
          <w:trHeight w:val="300"/>
        </w:trPr>
        <w:tc>
          <w:tcPr>
            <w:tcW w:type="dxa" w:w="690"/>
            <w:tcBorders>
              <w:top w:val="nil"/>
              <w:left w:val="none"/>
              <w:bottom w:val="single" w:sz="6" w:color="000000"/>
              <w:right w:val="single" w:sz="6" w:color="000000"/>
            </w:tcBorders>
            <w:vAlign w:val="center"/>
          </w:tcPr>
          <w:p>
            <w:pPr>
              <w:wordWrap w:val="off"/>
              <w:spacing w:lineRule="exact" w:line="378"/>
              <w:jc w:val="center"/>
            </w:pPr>
            <w:r>
              <w:rPr>
                <w:rFonts w:ascii="SimSun" w:hAnsi="SimSun" w:cs="SimSun" w:eastAsia="SimSun"/>
                <w:color w:val="000000"/>
                <w:sz w:val="21"/>
              </w:rPr>
              <w:t>4</w:t>
            </w:r>
          </w:p>
        </w:tc>
        <w:tc>
          <w:tcPr>
            <w:tcW w:type="dxa" w:w="1815"/>
            <w:tcBorders>
              <w:top w:val="nil"/>
              <w:left w:val="nil"/>
              <w:bottom w:val="single" w:sz="6" w:color="000000"/>
              <w:right w:val="single" w:sz="6" w:color="000000"/>
            </w:tcBorders>
            <w:vAlign w:val="center"/>
          </w:tcPr>
          <w:p>
            <w:pPr>
              <w:wordWrap w:val="off"/>
              <w:spacing w:lineRule="exact" w:line="378"/>
              <w:jc w:val="center"/>
            </w:pPr>
            <w:r>
              <w:rPr>
                <w:rFonts w:ascii="SimSun" w:hAnsi="SimSun" w:cs="SimSun" w:eastAsia="SimSun"/>
                <w:color w:val="000000"/>
                <w:sz w:val="21"/>
              </w:rPr>
              <w:t>日志统计分析</w:t>
            </w:r>
          </w:p>
        </w:tc>
        <w:tc>
          <w:tcPr>
            <w:tcW w:type="dxa" w:w="6675"/>
            <w:tcBorders>
              <w:top w:val="nil"/>
              <w:left w:val="nil"/>
              <w:bottom w:val="single" w:sz="6" w:color="000000"/>
              <w:right w:val="none"/>
            </w:tcBorders>
            <w:vAlign w:val="center"/>
          </w:tcPr>
          <w:p>
            <w:pPr>
              <w:wordWrap w:val="off"/>
              <w:spacing w:lineRule="exact" w:line="378"/>
              <w:ind w:leftChars="200"/>
              <w:jc w:val="left"/>
            </w:pPr>
            <w:r>
              <w:rPr>
                <w:rFonts w:ascii="宋体" w:hAnsi="宋体" w:cs="宋体" w:eastAsia="宋体"/>
                <w:color w:val="000000"/>
                <w:sz w:val="21"/>
              </w:rPr>
              <w:t>1. 支持记录与查询全量日志，包括但不限于用户账号、用户IP、终端、请求时间、访问URL、请求结果； 支持日志至少存储180天，存储日志可实时查询。</w:t>
            </w:r>
          </w:p>
          <w:p>
            <w:pPr>
              <w:wordWrap w:val="off"/>
              <w:spacing w:lineRule="exact" w:line="378"/>
              <w:ind w:leftChars="200"/>
              <w:jc w:val="left"/>
            </w:pPr>
            <w:r>
              <w:rPr>
                <w:rFonts w:ascii="宋体" w:hAnsi="宋体" w:cs="宋体" w:eastAsia="宋体"/>
                <w:color w:val="000000"/>
                <w:sz w:val="21"/>
              </w:rPr>
              <w:t>2. 支持对用户数据进行统计分析，支持根据访问量、浏览器、操作系统、设备类型、请求来源地理位置进行统计分析，并可根据时间段及不同时间维度进行统计，通过可视化图表展示变化趋势；</w:t>
            </w:r>
          </w:p>
          <w:p>
            <w:pPr>
              <w:wordWrap w:val="off"/>
              <w:spacing w:lineRule="exact" w:line="378"/>
              <w:ind w:leftChars="200"/>
              <w:jc w:val="left"/>
            </w:pPr>
            <w:r>
              <w:rPr>
                <w:rFonts w:ascii="宋体" w:hAnsi="宋体" w:cs="宋体" w:eastAsia="宋体"/>
                <w:color w:val="000000"/>
                <w:sz w:val="21"/>
              </w:rPr>
              <w:t>3. 支持根据用户的访问HTTP协议（http/https/http2）以及IP协议（IPv4/IPv6）进行统计分析，并通过折线图进行展示；</w:t>
            </w:r>
          </w:p>
          <w:p>
            <w:pPr>
              <w:wordWrap w:val="off"/>
              <w:spacing w:lineRule="exact" w:line="378"/>
              <w:ind w:leftChars="200"/>
              <w:jc w:val="left"/>
            </w:pPr>
            <w:r>
              <w:rPr>
                <w:rFonts w:ascii="宋体" w:hAnsi="宋体" w:cs="宋体" w:eastAsia="宋体"/>
                <w:color w:val="000000"/>
                <w:sz w:val="21"/>
              </w:rPr>
              <w:t>4. 支持自定义大屏，支持用户自定义选择关注的块图并添加至大屏中；支持拖拽方式调整布局；支持多个大屏全屏展示。</w:t>
            </w:r>
          </w:p>
          <w:p>
            <w:pPr>
              <w:wordWrap w:val="off"/>
              <w:spacing w:lineRule="exact" w:line="378"/>
              <w:ind w:leftChars="200"/>
              <w:jc w:val="left"/>
            </w:pPr>
            <w:r>
              <w:rPr>
                <w:rFonts w:ascii="宋体" w:hAnsi="宋体" w:cs="宋体" w:eastAsia="宋体"/>
                <w:color w:val="000000"/>
                <w:sz w:val="21"/>
              </w:rPr>
              <w:t>5. 支持对后端资源的性能数据信息进行统计分析，包括请求数、响应数、流量大小、错误数、连接数、每秒请求速率等，并可根据时间段及不同时间维度进行统计，通过可视化图表展示变化趋势；</w:t>
            </w:r>
          </w:p>
          <w:p>
            <w:pPr>
              <w:wordWrap w:val="off"/>
              <w:spacing w:lineRule="exact" w:line="378"/>
              <w:ind w:leftChars="200"/>
              <w:jc w:val="left"/>
            </w:pPr>
            <w:r>
              <w:rPr>
                <w:rFonts w:ascii="宋体" w:hAnsi="宋体" w:cs="宋体" w:eastAsia="宋体"/>
                <w:color w:val="000000"/>
                <w:sz w:val="21"/>
              </w:rPr>
              <w:t>6. 支持定期生成月报、年报，并支持word格式进行导出。支持用户自定义统计报表，支持用户自主选择报表类型以及报表数据，并支持PDF格式进行导出</w:t>
            </w:r>
          </w:p>
        </w:tc>
      </w:tr>
      <w:tr>
        <w:trPr>
          <w:trHeight w:val="300"/>
        </w:trPr>
        <w:tc>
          <w:tcPr>
            <w:tcW w:type="dxa" w:w="9180"/>
            <w:hMerge w:val="restart"/>
            <w:tcBorders>
              <w:top w:val="nil"/>
              <w:left w:val="none"/>
              <w:bottom w:val="single" w:sz="6" w:color="000000"/>
              <w:right w:val="nil"/>
            </w:tcBorders>
            <w:vAlign w:val="center"/>
          </w:tcPr>
          <w:p>
            <w:pPr>
              <w:wordWrap w:val="off"/>
              <w:spacing w:lineRule="exact" w:line="378"/>
              <w:jc w:val="center"/>
            </w:pPr>
            <w:r>
              <w:rPr>
                <w:rFonts w:ascii="SimSun" w:hAnsi="SimSun" w:cs="SimSun" w:eastAsia="SimSun"/>
                <w:color w:val="000000"/>
                <w:sz w:val="21"/>
              </w:rPr>
              <w:t>系统构架要求</w:t>
            </w:r>
          </w:p>
        </w:tc>
        <w:tc>
          <w:tcPr>
            <w:tcW w:type="dxa" w:w="9180"/>
            <w:hMerge w:val="continue"/>
            <w:tcBorders>
              <w:top w:val="nil"/>
              <w:left w:val="nil"/>
              <w:bottom w:val="single" w:sz="6" w:color="000000"/>
              <w:right w:val="nil"/>
            </w:tcBorders>
          </w:tcPr>
          <w:p/>
        </w:tc>
        <w:tc>
          <w:tcPr>
            <w:tcW w:type="dxa" w:w="9180"/>
            <w:hMerge w:val="continue"/>
            <w:tcBorders>
              <w:top w:val="nil"/>
              <w:left w:val="nil"/>
              <w:bottom w:val="single" w:sz="6" w:color="000000"/>
              <w:right w:val="none"/>
            </w:tcBorders>
          </w:tcPr>
          <w:p/>
        </w:tc>
      </w:tr>
      <w:tr>
        <w:trPr>
          <w:trHeight w:val="300"/>
        </w:trPr>
        <w:tc>
          <w:tcPr>
            <w:tcW w:type="dxa" w:w="690"/>
            <w:tcBorders>
              <w:top w:val="nil"/>
              <w:left w:val="none"/>
              <w:bottom w:val="single" w:sz="6" w:color="000000"/>
              <w:right w:val="single" w:sz="6" w:color="000000"/>
            </w:tcBorders>
            <w:vAlign w:val="center"/>
          </w:tcPr>
          <w:p>
            <w:pPr>
              <w:wordWrap w:val="off"/>
              <w:spacing w:lineRule="exact" w:line="378"/>
              <w:jc w:val="center"/>
            </w:pPr>
            <w:r>
              <w:rPr>
                <w:rFonts w:ascii="SimSun" w:hAnsi="SimSun" w:cs="SimSun" w:eastAsia="SimSun"/>
                <w:color w:val="000000"/>
                <w:sz w:val="21"/>
              </w:rPr>
              <w:t>1</w:t>
            </w:r>
          </w:p>
        </w:tc>
        <w:tc>
          <w:tcPr>
            <w:tcW w:type="dxa" w:w="1815"/>
            <w:tcBorders>
              <w:top w:val="nil"/>
              <w:left w:val="nil"/>
              <w:bottom w:val="single" w:sz="6" w:color="000000"/>
              <w:right w:val="single" w:sz="6" w:color="000000"/>
            </w:tcBorders>
            <w:vAlign w:val="center"/>
          </w:tcPr>
          <w:p>
            <w:pPr>
              <w:wordWrap w:val="off"/>
              <w:spacing w:lineRule="exact" w:line="378"/>
              <w:jc w:val="center"/>
            </w:pPr>
            <w:r>
              <w:rPr>
                <w:rFonts w:ascii="SimSun" w:hAnsi="SimSun" w:cs="SimSun" w:eastAsia="SimSun"/>
                <w:color w:val="000000"/>
                <w:sz w:val="21"/>
              </w:rPr>
              <w:t>系统管理</w:t>
            </w:r>
          </w:p>
        </w:tc>
        <w:tc>
          <w:tcPr>
            <w:tcW w:type="dxa" w:w="6675"/>
            <w:tcBorders>
              <w:top w:val="nil"/>
              <w:left w:val="nil"/>
              <w:bottom w:val="single" w:sz="6" w:color="000000"/>
              <w:right w:val="none"/>
            </w:tcBorders>
            <w:shd w:color="auto" w:val="clear" w:fill="ffffff"/>
            <w:vAlign w:val="center"/>
          </w:tcPr>
          <w:p>
            <w:pPr>
              <w:wordWrap w:val="off"/>
              <w:spacing w:lineRule="exact" w:line="378"/>
              <w:ind w:leftChars="200"/>
              <w:jc w:val="left"/>
            </w:pPr>
            <w:r>
              <w:rPr>
                <w:rFonts w:ascii="宋体" w:hAnsi="宋体" w:cs="宋体" w:eastAsia="宋体"/>
                <w:color w:val="000000"/>
                <w:sz w:val="21"/>
                <w:highlight w:val="none"/>
              </w:rPr>
              <w:t>1. 支持HA方式进行多机部署，在单台出现故障时，能在1s内切换至另一台服务器进行服务，避免出现单点故障；业务端支持双活运行，两台机器同时提供具体业务，提升业务性能；</w:t>
            </w:r>
          </w:p>
          <w:p>
            <w:pPr>
              <w:wordWrap w:val="off"/>
              <w:spacing w:lineRule="exact" w:line="378"/>
              <w:ind w:leftChars="200"/>
              <w:jc w:val="left"/>
            </w:pPr>
            <w:r>
              <w:rPr>
                <w:rFonts w:ascii="宋体" w:hAnsi="宋体" w:cs="宋体" w:eastAsia="宋体"/>
                <w:color w:val="000000"/>
                <w:sz w:val="21"/>
                <w:highlight w:val="none"/>
              </w:rPr>
              <w:t>2. 支持监控系统自身运行状态，包括CPU、内存、负载状态、网卡流量以及磁盘使用情况； 支持自动定期系统配置备份，并可通过备份进行系统恢复；</w:t>
            </w:r>
          </w:p>
          <w:p>
            <w:pPr>
              <w:wordWrap w:val="off"/>
              <w:spacing w:lineRule="exact" w:line="378"/>
              <w:ind w:leftChars="200"/>
              <w:jc w:val="left"/>
            </w:pPr>
            <w:r>
              <w:rPr>
                <w:rFonts w:ascii="宋体" w:hAnsi="宋体" w:cs="宋体" w:eastAsia="宋体"/>
                <w:color w:val="000000"/>
                <w:sz w:val="21"/>
                <w:highlight w:val="none"/>
              </w:rPr>
              <w:t>3. 支持系统用户的权限管理，系统管理员可管理所有资源并自定义域管理员的管理域，域管理员只可对指定域内资源进行管理；支持系统用户的操作日志的记录与查询；</w:t>
            </w:r>
          </w:p>
          <w:p>
            <w:pPr>
              <w:wordWrap w:val="off"/>
              <w:spacing w:lineRule="exact" w:line="378"/>
              <w:ind w:leftChars="200"/>
              <w:jc w:val="left"/>
            </w:pPr>
            <w:r>
              <w:rPr>
                <w:rFonts w:ascii="宋体" w:hAnsi="宋体" w:cs="宋体" w:eastAsia="宋体"/>
                <w:color w:val="000000"/>
                <w:sz w:val="21"/>
                <w:highlight w:val="none"/>
              </w:rPr>
              <w:t>4. 支持系统用户双因子认证登录，密码定期修改； 支持管理端系统配置白名单策略，只允许白名单的IP使用相关管理功能，禁止其他IP访问并使用管理功能；</w:t>
            </w:r>
          </w:p>
          <w:p>
            <w:pPr>
              <w:wordWrap w:val="off"/>
              <w:spacing w:lineRule="exact" w:line="378"/>
              <w:ind w:leftChars="200"/>
              <w:jc w:val="left"/>
            </w:pPr>
            <w:r>
              <w:rPr>
                <w:rFonts w:ascii="宋体" w:hAnsi="宋体" w:cs="宋体" w:eastAsia="宋体"/>
                <w:color w:val="000000"/>
                <w:sz w:val="21"/>
                <w:highlight w:val="none"/>
              </w:rPr>
              <w:t>5.★为保障系统的稳定和可靠，需提供系统运行平安通告服务，云端实时监测系统的运行态势和异常事件，进行及时响应和处置，运维人员上班前及下班前收到系统平安信息通告。 （要求提供产品功能截图证明）</w:t>
            </w:r>
          </w:p>
          <w:p>
            <w:pPr>
              <w:wordWrap w:val="off"/>
              <w:spacing w:lineRule="exact" w:line="378"/>
              <w:jc w:val="left"/>
            </w:pPr>
            <w:r>
              <w:rPr>
                <w:rFonts w:ascii="宋体" w:hAnsi="宋体" w:cs="宋体" w:eastAsia="宋体"/>
                <w:color w:val="000000"/>
                <w:sz w:val="21"/>
                <w:highlight w:val="none"/>
              </w:rPr>
              <w:t>6.★为保障系统及数据安全，本次要求提供设备存储硬盘的国家信息中心三年数据恢复服务（投标时提供国家信息中心对此项目的三年数据恢复服务承诺函原件）</w:t>
            </w:r>
          </w:p>
        </w:tc>
      </w:tr>
      <w:tr>
        <w:trPr>
          <w:trHeight w:val="300"/>
        </w:trPr>
        <w:tc>
          <w:tcPr>
            <w:tcW w:type="dxa" w:w="690"/>
            <w:tcBorders>
              <w:top w:val="nil"/>
              <w:left w:val="none"/>
              <w:bottom w:val="none"/>
              <w:right w:val="single" w:sz="6" w:color="000000"/>
            </w:tcBorders>
            <w:vAlign w:val="center"/>
          </w:tcPr>
          <w:p>
            <w:pPr>
              <w:wordWrap w:val="off"/>
              <w:ind w:firstLineChars="100"/>
              <w:jc w:val="left"/>
            </w:pPr>
            <w:r>
              <w:rPr>
                <w:rFonts w:ascii="SimSun" w:hAnsi="SimSun" w:cs="SimSun" w:eastAsia="SimSun"/>
                <w:color w:val="000000"/>
                <w:sz w:val="21"/>
              </w:rPr>
              <w:t/>
            </w:r>
          </w:p>
        </w:tc>
        <w:tc>
          <w:tcPr>
            <w:tcW w:type="dxa" w:w="1815"/>
            <w:tcBorders>
              <w:top w:val="nil"/>
              <w:left w:val="nil"/>
              <w:bottom w:val="none"/>
              <w:right w:val="single" w:sz="6" w:color="000000"/>
            </w:tcBorders>
            <w:vAlign w:val="center"/>
          </w:tcPr>
          <w:p>
            <w:pPr>
              <w:wordWrap w:val="off"/>
              <w:ind w:firstLineChars="100"/>
              <w:jc w:val="left"/>
            </w:pPr>
            <w:r>
              <w:rPr>
                <w:rFonts w:ascii="SimSun" w:hAnsi="SimSun" w:cs="SimSun" w:eastAsia="SimSun"/>
                <w:color w:val="000000"/>
                <w:sz w:val="21"/>
              </w:rPr>
              <w:t/>
            </w:r>
          </w:p>
        </w:tc>
        <w:tc>
          <w:tcPr>
            <w:tcW w:type="dxa" w:w="6675"/>
            <w:tcBorders>
              <w:top w:val="nil"/>
              <w:left w:val="nil"/>
              <w:bottom w:val="none"/>
              <w:right w:val="none"/>
            </w:tcBorders>
            <w:shd w:color="auto" w:val="clear" w:fill="ffffff"/>
            <w:vAlign w:val="center"/>
          </w:tcPr>
          <w:p>
            <w:pPr>
              <w:wordWrap w:val="off"/>
              <w:ind w:firstLineChars="100"/>
              <w:jc w:val="left"/>
            </w:pPr>
            <w:r>
              <w:rPr>
                <w:rFonts w:ascii="SimSun" w:hAnsi="SimSun" w:cs="SimSun" w:eastAsia="SimSun"/>
                <w:color w:val="000000"/>
                <w:sz w:val="21"/>
                <w:highlight w:val="none"/>
              </w:rPr>
              <w:t/>
            </w:r>
          </w:p>
        </w:tc>
      </w:tr>
    </w:tbl>
    <w:p>
      <w:pPr>
        <w:wordWrap w:val="off"/>
        <w:spacing w:lineRule="exact" w:line="378"/>
        <w:ind w:firstLineChars="100"/>
        <w:jc w:val="left"/>
      </w:pPr>
      <w:r>
        <w:rPr>
          <w:rFonts w:ascii="SimSun" w:hAnsi="SimSun" w:cs="SimSun" w:eastAsia="SimSun"/>
          <w:color w:val="000000"/>
          <w:sz w:val="21"/>
        </w:rPr>
        <w:t/>
      </w:r>
    </w:p>
    <w:p>
      <w:pPr>
        <w:wordWrap w:val="off"/>
        <w:spacing w:lineRule="exact" w:line="503"/>
        <w:jc w:val="left"/>
        <w:outlineLvl w:val="1"/>
      </w:pPr>
      <w:r>
        <w:rPr>
          <w:rFonts w:ascii="宋体" w:hAnsi="宋体" w:cs="宋体" w:eastAsia="宋体"/>
          <w:b w:val="true"/>
          <w:color w:val="000000"/>
          <w:sz w:val="28"/>
        </w:rPr>
        <w:t>三</w:t>
      </w:r>
      <w:r>
        <w:rPr>
          <w:rFonts w:ascii="宋体" w:hAnsi="宋体" w:cs="宋体" w:eastAsia="宋体"/>
          <w:b w:val="true"/>
          <w:color w:val="000000"/>
          <w:sz w:val="28"/>
        </w:rPr>
        <w:t>、整体要求</w:t>
      </w:r>
    </w:p>
    <w:p>
      <w:pPr>
        <w:wordWrap w:val="off"/>
        <w:spacing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1、本项目：</w:t>
      </w:r>
      <w:r>
        <w:rPr>
          <w:rFonts w:ascii="MS Mincho" w:hAnsi="MS Mincho" w:cs="MS Mincho" w:eastAsia="MS Mincho"/>
          <w:color w:val="000000"/>
          <w:sz w:val="21"/>
        </w:rPr>
        <w:t>☐</w:t>
      </w:r>
      <w:r>
        <w:rPr>
          <w:rFonts w:ascii="宋体" w:hAnsi="宋体" w:cs="宋体" w:eastAsia="宋体"/>
          <w:color w:val="000000"/>
          <w:sz w:val="21"/>
        </w:rPr>
        <w:t xml:space="preserve">接受进口产品 </w:t>
      </w:r>
      <w:r>
        <w:rPr>
          <w:rFonts w:ascii="MS Mincho" w:hAnsi="MS Mincho" w:cs="MS Mincho" w:eastAsia="MS Mincho"/>
          <w:color w:val="000000"/>
          <w:sz w:val="21"/>
        </w:rPr>
        <w:t>☑</w:t>
      </w:r>
      <w:r>
        <w:rPr>
          <w:rFonts w:ascii="宋体" w:hAnsi="宋体" w:cs="宋体" w:eastAsia="宋体"/>
          <w:color w:val="000000"/>
          <w:sz w:val="21"/>
        </w:rPr>
        <w:t>不接受进口产品</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2、本项目整体质保为</w:t>
      </w:r>
      <w:r>
        <w:rPr>
          <w:rFonts w:ascii="宋体" w:hAnsi="宋体" w:cs="宋体" w:eastAsia="宋体"/>
          <w:color w:val="000000"/>
          <w:sz w:val="21"/>
        </w:rPr>
        <w:t>36</w:t>
      </w:r>
      <w:r>
        <w:rPr>
          <w:rFonts w:ascii="宋体" w:hAnsi="宋体" w:cs="宋体" w:eastAsia="宋体"/>
          <w:color w:val="000000"/>
          <w:sz w:val="21"/>
        </w:rPr>
        <w:t>个月。</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3、磋商响应</w:t>
      </w:r>
      <w:r>
        <w:rPr>
          <w:rFonts w:ascii="宋体" w:hAnsi="宋体" w:cs="宋体" w:eastAsia="宋体"/>
          <w:color w:val="000000"/>
          <w:sz w:val="21"/>
        </w:rPr>
        <w:t>单位必须提供主要响应产品或参数（★）的使用说明书或彩页样本或官网截图（需能真实体现产品的技术指标及性能），且必须满足参数要求，未提供上述资料的</w:t>
      </w:r>
      <w:r>
        <w:rPr>
          <w:rFonts w:ascii="宋体" w:hAnsi="宋体" w:cs="宋体" w:eastAsia="宋体"/>
          <w:color w:val="000000"/>
          <w:sz w:val="21"/>
        </w:rPr>
        <w:t>磋商响应</w:t>
      </w:r>
      <w:r>
        <w:rPr>
          <w:rFonts w:ascii="宋体" w:hAnsi="宋体" w:cs="宋体" w:eastAsia="宋体"/>
          <w:color w:val="000000"/>
          <w:sz w:val="21"/>
        </w:rPr>
        <w:t>文件为无效投标。其余响应表中所标注的技术参数响应单位应满足产品使用要求。</w:t>
      </w:r>
    </w:p>
    <w:p>
      <w:pPr>
        <w:wordWrap w:val="off"/>
        <w:spacing w:lineRule="exact" w:line="503"/>
        <w:jc w:val="left"/>
        <w:outlineLvl w:val="1"/>
      </w:pPr>
      <w:r>
        <w:rPr>
          <w:rFonts w:ascii="宋体" w:hAnsi="宋体" w:cs="宋体" w:eastAsia="宋体"/>
          <w:b w:val="true"/>
          <w:color w:val="000000"/>
          <w:sz w:val="28"/>
        </w:rPr>
        <w:t>四</w:t>
      </w:r>
      <w:r>
        <w:rPr>
          <w:rFonts w:ascii="宋体" w:hAnsi="宋体" w:cs="宋体" w:eastAsia="宋体"/>
          <w:b w:val="true"/>
          <w:color w:val="000000"/>
          <w:sz w:val="28"/>
        </w:rPr>
        <w:t>、服务要求</w:t>
      </w:r>
    </w:p>
    <w:p>
      <w:pPr>
        <w:wordWrap w:val="off"/>
        <w:spacing w:lineRule="exact" w:line="378"/>
        <w:jc w:val="left"/>
      </w:pPr>
      <w:r>
        <w:rPr>
          <w:rFonts w:ascii="SimSun" w:hAnsi="SimSun" w:cs="SimSun" w:eastAsia="SimSun"/>
          <w:color w:val="000000"/>
          <w:sz w:val="21"/>
        </w:rPr>
        <w:t>（1）所有报价设备的生产、制造、安装等，各项技术标准应当符合国家（强制性）标准、各项规范要求；国家没有相应标准、规范的，可使用行业标准、规定；非标设备按采购文件约定的技术要求和规范，所有报价设备技术参数应达到采购文件要求。</w:t>
      </w:r>
    </w:p>
    <w:p>
      <w:pPr>
        <w:wordWrap w:val="off"/>
        <w:spacing w:lineRule="exact" w:line="378"/>
        <w:jc w:val="left"/>
      </w:pPr>
      <w:r>
        <w:rPr>
          <w:rFonts w:ascii="SimSun" w:hAnsi="SimSun" w:cs="SimSun" w:eastAsia="SimSun"/>
          <w:color w:val="000000"/>
          <w:sz w:val="21"/>
        </w:rPr>
        <w:t>（2）报价设备是全新的、未使用过的、原厂包装未拆封的商品，完全符合采购设备规定的质量、规格和性能的要求，响应单位应保证其提供的设备在正确安装、正常使用和保养条件下，在规定的使用寿命期内具有满意的性能, 并提供所有产品的附件、说明书。</w:t>
      </w:r>
    </w:p>
    <w:p>
      <w:pPr>
        <w:wordWrap w:val="off"/>
        <w:spacing w:lineRule="exact" w:line="378"/>
        <w:jc w:val="left"/>
      </w:pPr>
      <w:r>
        <w:rPr>
          <w:rFonts w:ascii="SimSun" w:hAnsi="SimSun" w:cs="SimSun" w:eastAsia="SimSun"/>
          <w:color w:val="000000"/>
          <w:sz w:val="21"/>
        </w:rPr>
        <w:t>（3）质保期限及售后服务要求： 提供</w:t>
      </w:r>
      <w:r>
        <w:rPr>
          <w:rFonts w:ascii="SimSun" w:hAnsi="SimSun" w:cs="SimSun" w:eastAsia="SimSun"/>
          <w:color w:val="ff0000"/>
          <w:sz w:val="21"/>
          <w:u w:val="single"/>
        </w:rPr>
        <w:t>3</w:t>
      </w:r>
      <w:r>
        <w:rPr>
          <w:rFonts w:ascii="SimSun" w:hAnsi="SimSun" w:cs="SimSun" w:eastAsia="SimSun"/>
          <w:b w:val="true"/>
          <w:color w:val="ff0000"/>
          <w:sz w:val="21"/>
        </w:rPr>
        <w:t>年</w:t>
      </w:r>
      <w:r>
        <w:rPr>
          <w:rFonts w:ascii="SimSun" w:hAnsi="SimSun" w:cs="SimSun" w:eastAsia="SimSun"/>
          <w:color w:val="000000"/>
          <w:sz w:val="21"/>
        </w:rPr>
        <w:t>的免费质保，质保期自最终验收合格并交付使用之日起计算。在产品保修期内，一旦发生质量问题，响应供应商保证在接到通知2小时内响应，</w:t>
      </w:r>
      <w:r>
        <w:rPr>
          <w:rFonts w:ascii="SimSun" w:hAnsi="SimSun" w:cs="SimSun" w:eastAsia="SimSun"/>
          <w:b w:val="true"/>
          <w:color w:val="ff0000"/>
          <w:sz w:val="21"/>
        </w:rPr>
        <w:t>24小时</w:t>
      </w:r>
      <w:r>
        <w:rPr>
          <w:rFonts w:ascii="SimSun" w:hAnsi="SimSun" w:cs="SimSun" w:eastAsia="SimSun"/>
          <w:color w:val="000000"/>
          <w:sz w:val="21"/>
        </w:rPr>
        <w:t>内赶到现场进行修理，费用由响应单位负责。设备质保期按国家、厂商、行业标准执行，质保期由设备安装调试合格后开始计算。</w:t>
      </w:r>
    </w:p>
    <w:p>
      <w:pPr>
        <w:wordWrap w:val="off"/>
        <w:spacing w:lineRule="exact" w:line="503"/>
        <w:jc w:val="left"/>
        <w:outlineLvl w:val="1"/>
      </w:pPr>
      <w:r>
        <w:rPr>
          <w:rFonts w:ascii="宋体" w:hAnsi="宋体" w:cs="宋体" w:eastAsia="宋体"/>
          <w:b w:val="true"/>
          <w:color w:val="000000"/>
          <w:sz w:val="28"/>
        </w:rPr>
        <w:t>五</w:t>
      </w:r>
      <w:r>
        <w:rPr>
          <w:rFonts w:ascii="宋体" w:hAnsi="宋体" w:cs="宋体" w:eastAsia="宋体"/>
          <w:b w:val="true"/>
          <w:color w:val="000000"/>
          <w:sz w:val="28"/>
        </w:rPr>
        <w:t>、验收标准</w:t>
      </w:r>
    </w:p>
    <w:p>
      <w:pPr>
        <w:wordWrap w:val="off"/>
        <w:spacing w:lineRule="exact" w:line="378"/>
        <w:ind w:firstLineChars="200"/>
        <w:jc w:val="left"/>
      </w:pPr>
      <w:r>
        <w:rPr>
          <w:rFonts w:ascii="宋体" w:hAnsi="宋体" w:cs="宋体" w:eastAsia="宋体"/>
          <w:color w:val="000000"/>
          <w:sz w:val="21"/>
        </w:rPr>
        <w:t>采购标的物验收标准：(根据国家有关规定、采购文件、成交方的响应文件以及合同约定的内容和验收标准进行制定，验收情况作为支付货款的依据。)</w:t>
      </w:r>
    </w:p>
    <w:p>
      <w:pPr>
        <w:wordWrap w:val="off"/>
        <w:spacing w:before="0" w:after="0" w:lineRule="exact" w:line="378"/>
        <w:ind w:firstLineChars="200"/>
        <w:jc w:val="left"/>
      </w:pPr>
      <w:r>
        <w:rPr>
          <w:rFonts w:ascii="宋体" w:hAnsi="宋体" w:cs="宋体" w:eastAsia="宋体"/>
          <w:color w:val="000000"/>
          <w:sz w:val="21"/>
        </w:rPr>
        <w:t>（1）按国家或行业或地方标准以及甲方招标文件的质量要求和技术指标、乙方的投标文件及承诺与本合同约定标准进行验收；甲乙双方如对质量要求和技术指标的约定标准有相互抵触或异议的事项，由甲方在招标与投标文件中按质量要求和技术指标比较优胜的原则确定该项的约定标准进行验收；</w:t>
      </w:r>
    </w:p>
    <w:p>
      <w:pPr>
        <w:wordWrap w:val="off"/>
        <w:spacing w:before="0" w:after="0" w:lineRule="exact" w:line="378"/>
        <w:ind w:firstLineChars="200"/>
        <w:jc w:val="left"/>
      </w:pPr>
      <w:r>
        <w:rPr>
          <w:rFonts w:ascii="宋体" w:hAnsi="宋体" w:cs="宋体" w:eastAsia="宋体"/>
          <w:color w:val="000000"/>
          <w:sz w:val="21"/>
        </w:rPr>
        <w:t>（2）货物到达现场后，中标供应商应在采购人在场情况下当面开箱，共同清点、检查外观，作出开箱记录，双方签字确认。中标供应商应保证货物到达采购人所在地完好无损，如有缺漏、损坏，由中标供应商负责调换、补齐或赔偿。</w:t>
      </w:r>
    </w:p>
    <w:p>
      <w:pPr>
        <w:wordWrap w:val="off"/>
        <w:spacing w:before="0" w:after="0" w:lineRule="exact" w:line="378"/>
        <w:ind w:firstLineChars="200"/>
        <w:jc w:val="left"/>
      </w:pPr>
      <w:r>
        <w:rPr>
          <w:rFonts w:ascii="宋体" w:hAnsi="宋体" w:cs="宋体" w:eastAsia="宋体"/>
          <w:color w:val="000000"/>
          <w:sz w:val="21"/>
        </w:rPr>
        <w:t>（3）成交供应商自检完成后，成交供应商与采购人按采购文件以及合同相关条款要求一同对货物进行验收，并最终签字确认。</w:t>
      </w:r>
    </w:p>
    <w:p>
      <w:pPr>
        <w:wordWrap w:val="off"/>
        <w:spacing w:before="0" w:after="0" w:lineRule="exact" w:line="378"/>
        <w:jc w:val="left"/>
      </w:pPr>
    </w:p>
    <w:p>
      <w:pPr>
        <w:wordWrap w:val="off"/>
        <w:spacing w:lineRule="exact" w:line="503"/>
        <w:jc w:val="left"/>
        <w:outlineLvl w:val="1"/>
      </w:pPr>
      <w:r>
        <w:rPr>
          <w:rFonts w:ascii="宋体" w:hAnsi="宋体" w:cs="宋体" w:eastAsia="宋体"/>
          <w:b w:val="true"/>
          <w:color w:val="000000"/>
          <w:sz w:val="28"/>
        </w:rPr>
        <w:t>六</w:t>
      </w:r>
      <w:r>
        <w:rPr>
          <w:rFonts w:ascii="宋体" w:hAnsi="宋体" w:cs="宋体" w:eastAsia="宋体"/>
          <w:b w:val="true"/>
          <w:color w:val="000000"/>
          <w:sz w:val="28"/>
        </w:rPr>
        <w:t>、付款方式</w:t>
      </w:r>
    </w:p>
    <w:p>
      <w:pPr>
        <w:wordWrap w:val="off"/>
        <w:spacing w:lineRule="exact" w:line="378"/>
        <w:ind w:firstLineChars="200"/>
        <w:jc w:val="left"/>
      </w:pPr>
      <w:r>
        <w:rPr>
          <w:rFonts w:ascii="宋体" w:hAnsi="宋体" w:cs="宋体" w:eastAsia="宋体"/>
          <w:color w:val="000000"/>
          <w:sz w:val="21"/>
        </w:rPr>
        <w:t/>
      </w:r>
      <w:r>
        <w:rPr>
          <w:rFonts w:ascii="宋体" w:hAnsi="宋体" w:cs="宋体" w:eastAsia="宋体"/>
          <w:color w:val="000000"/>
          <w:sz w:val="21"/>
        </w:rPr>
        <w:t>合同生效后，甲方向乙方支付合同总价</w:t>
      </w:r>
      <w:r>
        <w:rPr>
          <w:rFonts w:ascii="宋体" w:hAnsi="宋体" w:cs="宋体" w:eastAsia="宋体"/>
          <w:color w:val="000000"/>
          <w:sz w:val="21"/>
          <w:u w:val="single"/>
        </w:rPr>
        <w:t>30</w:t>
      </w:r>
      <w:r>
        <w:rPr>
          <w:rFonts w:ascii="宋体" w:hAnsi="宋体" w:cs="宋体" w:eastAsia="宋体"/>
          <w:color w:val="000000"/>
          <w:sz w:val="21"/>
        </w:rPr>
        <w:t>％的预付款，乙方在合同规定时间内将此批合同标的物送到苏州科技大学指定地点，并安装调试，甲方验收合格后向乙方支付剩余</w:t>
      </w:r>
      <w:r>
        <w:rPr>
          <w:rFonts w:ascii="宋体" w:hAnsi="宋体" w:cs="宋体" w:eastAsia="宋体"/>
          <w:color w:val="000000"/>
          <w:sz w:val="21"/>
          <w:u w:val="single"/>
        </w:rPr>
        <w:t>70</w:t>
      </w:r>
      <w:r>
        <w:rPr>
          <w:rFonts w:ascii="宋体" w:hAnsi="宋体" w:cs="宋体" w:eastAsia="宋体"/>
          <w:color w:val="000000"/>
          <w:sz w:val="21"/>
        </w:rPr>
        <w:t>％的货款。</w:t>
      </w:r>
    </w:p>
    <w:p>
      <w:pPr>
        <w:spacing w:before="0" w:after="0" w:lineRule="exact" w:line="555"/>
      </w:pPr>
    </w:p>
    <w:p>
      <w:pPr>
        <w:sectPr>
          <w:pgSz w:w="11907" w:h="16839" w:orient="portrait"/>
          <w:pgMar w:top="1077" w:right="1154" w:bottom="1077" w:left="1154"/>
        </w:sectPr>
      </w:pPr>
    </w:p>
    <w:p>
      <w:pPr>
        <w:wordWrap w:val="off"/>
        <w:spacing w:before="75" w:after="75"/>
        <w:jc w:val="center"/>
        <w:outlineLvl w:val="0"/>
      </w:pPr>
      <w:r>
        <w:rPr>
          <w:rFonts w:ascii="宋体" w:hAnsi="宋体" w:cs="宋体" w:eastAsia="宋体"/>
          <w:b w:val="true"/>
          <w:color w:val="000000"/>
          <w:sz w:val="40"/>
        </w:rPr>
        <w:t>第四章 评标标准</w:t>
      </w:r>
    </w:p>
    <w:p>
      <w:pPr>
        <w:wordWrap w:val="off"/>
        <w:spacing w:before="207" w:after="207"/>
        <w:jc w:val="left"/>
      </w:pPr>
      <w:r>
        <w:rPr>
          <w:rFonts w:ascii="宋体" w:hAnsi="宋体" w:cs="宋体" w:eastAsia="宋体"/>
          <w:b w:val="true"/>
          <w:color w:val="000000"/>
          <w:sz w:val="32"/>
        </w:rPr>
        <w:t>一、评标方法</w:t>
      </w:r>
    </w:p>
    <w:p>
      <w:pPr>
        <w:wordWrap w:val="off"/>
        <w:spacing w:before="51" w:after="51"/>
        <w:ind w:firstLineChars="250"/>
        <w:jc w:val="left"/>
      </w:pPr>
      <w:r>
        <w:rPr>
          <w:rFonts w:ascii="宋体" w:hAnsi="宋体" w:cs="宋体" w:eastAsia="宋体"/>
          <w:color w:val="000000"/>
          <w:sz w:val="21"/>
        </w:rPr>
        <w:t/>
      </w:r>
      <w:r>
        <w:rPr>
          <w:rFonts w:ascii="MS Mincho" w:hAnsi="MS Mincho" w:cs="MS Mincho" w:eastAsia="MS Mincho"/>
          <w:color w:val="000000"/>
          <w:sz w:val="21"/>
        </w:rPr>
        <w:t>☐</w:t>
      </w:r>
      <w:r>
        <w:rPr>
          <w:rFonts w:ascii="宋体" w:hAnsi="宋体" w:cs="宋体" w:eastAsia="宋体"/>
          <w:color w:val="000000"/>
          <w:sz w:val="21"/>
        </w:rPr>
        <w:t xml:space="preserve">经评审的最低价 </w:t>
      </w:r>
      <w:r>
        <w:rPr>
          <w:rFonts w:ascii="MS Mincho" w:hAnsi="MS Mincho" w:cs="MS Mincho" w:eastAsia="MS Mincho"/>
          <w:color w:val="000000"/>
          <w:sz w:val="21"/>
        </w:rPr>
        <w:t>☑</w:t>
      </w:r>
      <w:r>
        <w:rPr>
          <w:rFonts w:ascii="宋体" w:hAnsi="宋体" w:cs="宋体" w:eastAsia="宋体"/>
          <w:color w:val="000000"/>
          <w:sz w:val="21"/>
        </w:rPr>
        <w:t xml:space="preserve">综合评分法 </w:t>
      </w:r>
    </w:p>
    <w:p>
      <w:pPr>
        <w:wordWrap w:val="off"/>
        <w:spacing w:before="207" w:after="207"/>
        <w:jc w:val="left"/>
      </w:pPr>
      <w:r>
        <w:rPr>
          <w:rFonts w:ascii="宋体" w:hAnsi="宋体" w:cs="宋体" w:eastAsia="宋体"/>
          <w:b w:val="true"/>
          <w:color w:val="000000"/>
          <w:sz w:val="32"/>
        </w:rPr>
        <w:t>二、定标原则</w:t>
      </w:r>
    </w:p>
    <w:p>
      <w:pPr>
        <w:wordWrap w:val="off"/>
        <w:spacing w:lineRule="exact" w:line="378"/>
        <w:ind w:firstLineChars="200"/>
        <w:jc w:val="left"/>
      </w:pPr>
      <w:r>
        <w:rPr>
          <w:rFonts w:ascii="宋体" w:hAnsi="宋体" w:cs="宋体" w:eastAsia="宋体"/>
          <w:color w:val="000000"/>
          <w:sz w:val="21"/>
        </w:rPr>
        <w:t>（1）本项目采用综合评分法确定中标候选人。总分值为100分，小数点后保留两位。</w:t>
      </w:r>
    </w:p>
    <w:p>
      <w:pPr>
        <w:wordWrap w:val="off"/>
        <w:spacing w:before="0" w:after="0" w:lineRule="exact" w:line="378"/>
        <w:ind w:firstLineChars="200"/>
        <w:jc w:val="left"/>
      </w:pPr>
      <w:r>
        <w:rPr>
          <w:rFonts w:ascii="宋体" w:hAnsi="宋体" w:cs="宋体" w:eastAsia="宋体"/>
          <w:color w:val="000000"/>
          <w:sz w:val="21"/>
        </w:rPr>
        <w:t>（2）使用综合评分法的采购项目，评标结果按评审后得分由高到低顺序排列。得分相同的，由采购人自行选择成交供应商。</w:t>
      </w:r>
    </w:p>
    <w:p>
      <w:pPr>
        <w:wordWrap w:val="off"/>
        <w:spacing w:before="207" w:after="207"/>
        <w:jc w:val="left"/>
      </w:pPr>
      <w:r>
        <w:rPr>
          <w:rFonts w:ascii="宋体" w:hAnsi="宋体" w:cs="宋体" w:eastAsia="宋体"/>
          <w:b w:val="true"/>
          <w:color w:val="000000"/>
          <w:sz w:val="32"/>
        </w:rPr>
        <w:t>三、评标标准</w:t>
      </w:r>
    </w:p>
    <w:tbl>
      <w:tblPr>
        <w:tblW w:w="0" w:type="auto"/>
        <w:tblBorders>
          <w:top w:val="single"/>
          <w:left w:val="single"/>
          <w:bottom w:val="single"/>
          <w:right w:val="single"/>
          <w:insideH w:val="single"/>
          <w:insideV w:val="single"/>
        </w:tblBorders>
      </w:tblPr>
      <w:tblPr>
        <w:tblW w:type="dxa" w:w="9570"/>
        <w:jc w:val="center"/>
        <w:tblBorders>
          <w:top w:val="nil"/>
          <w:left w:val="nil"/>
          <w:bottom w:val="nil"/>
          <w:right w:val="nil"/>
        </w:tblBorders>
      </w:tblPr>
      <w:tr>
        <w:trPr>
          <w:trHeight w:val="600"/>
        </w:trPr>
        <w:tc>
          <w:tcPr>
            <w:tcW w:type="dxa" w:w="1200"/>
            <w:tcBorders>
              <w:top w:val="single" w:sz="12"/>
              <w:left w:val="single" w:sz="12"/>
              <w:bottom w:val="nil"/>
              <w:right w:val="nil"/>
            </w:tcBorders>
            <w:tcMar>
              <w:top w:w="20" w:type="dxa"/>
              <w:left w:w="20" w:type="dxa"/>
              <w:bottom w:w="20" w:type="dxa"/>
              <w:right w:w="20" w:type="dxa"/>
            </w:tcMar>
            <w:vAlign w:val="center"/>
          </w:tcPr>
          <w:p>
            <w:pPr>
              <w:wordWrap w:val="off"/>
              <w:spacing w:lineRule="exact" w:line="378"/>
              <w:jc w:val="center"/>
            </w:pPr>
            <w:r>
              <w:rPr>
                <w:rFonts w:ascii="宋体" w:hAnsi="宋体" w:cs="宋体" w:eastAsia="宋体"/>
                <w:b w:val="true"/>
                <w:color w:val="000000"/>
                <w:sz w:val="21"/>
              </w:rPr>
              <w:t>评分因素</w:t>
            </w:r>
          </w:p>
        </w:tc>
        <w:tc>
          <w:tcPr>
            <w:tcW w:type="dxa" w:w="690"/>
            <w:tcBorders>
              <w:top w:val="single" w:sz="12"/>
              <w:left w:val="single" w:sz="6"/>
              <w:bottom w:val="nil"/>
              <w:right w:val="nil"/>
            </w:tcBorders>
            <w:tcMar>
              <w:top w:w="20" w:type="dxa"/>
              <w:left w:w="20" w:type="dxa"/>
              <w:bottom w:w="20" w:type="dxa"/>
              <w:right w:w="20" w:type="dxa"/>
            </w:tcMar>
            <w:vAlign w:val="center"/>
          </w:tcPr>
          <w:p>
            <w:pPr>
              <w:wordWrap w:val="off"/>
              <w:spacing w:lineRule="exact" w:line="378"/>
              <w:jc w:val="center"/>
            </w:pPr>
            <w:r>
              <w:rPr>
                <w:rFonts w:ascii="宋体" w:hAnsi="宋体" w:cs="宋体" w:eastAsia="宋体"/>
                <w:b w:val="true"/>
                <w:color w:val="000000"/>
                <w:sz w:val="21"/>
              </w:rPr>
              <w:t>分值</w:t>
            </w:r>
          </w:p>
        </w:tc>
        <w:tc>
          <w:tcPr>
            <w:tcW w:type="dxa" w:w="7080"/>
            <w:tcBorders>
              <w:top w:val="single" w:sz="12"/>
              <w:left w:val="single" w:sz="6"/>
              <w:bottom w:val="nil"/>
              <w:right w:val="nil"/>
            </w:tcBorders>
            <w:tcMar>
              <w:top w:w="20" w:type="dxa"/>
              <w:left w:w="20" w:type="dxa"/>
              <w:bottom w:w="20" w:type="dxa"/>
              <w:right w:w="20" w:type="dxa"/>
            </w:tcMar>
            <w:vAlign w:val="center"/>
          </w:tcPr>
          <w:p>
            <w:pPr>
              <w:wordWrap w:val="off"/>
              <w:spacing w:lineRule="exact" w:line="378"/>
              <w:jc w:val="center"/>
            </w:pPr>
            <w:r>
              <w:rPr>
                <w:rFonts w:ascii="宋体" w:hAnsi="宋体" w:cs="宋体" w:eastAsia="宋体"/>
                <w:b w:val="true"/>
                <w:color w:val="000000"/>
                <w:sz w:val="21"/>
              </w:rPr>
              <w:t>评分标准</w:t>
            </w:r>
          </w:p>
        </w:tc>
        <w:tc>
          <w:tcPr>
            <w:tcW w:type="dxa" w:w="600"/>
            <w:tcBorders>
              <w:top w:val="nil"/>
              <w:left w:val="single" w:sz="12"/>
              <w:bottom w:val="nil"/>
              <w:right w:val="nil"/>
            </w:tcBorders>
            <w:tcMar>
              <w:top w:w="20" w:type="dxa"/>
              <w:left w:w="20" w:type="dxa"/>
              <w:bottom w:w="20" w:type="dxa"/>
              <w:right w:w="20" w:type="dxa"/>
            </w:tcMar>
            <w:vAlign w:val="center"/>
          </w:tcPr>
          <w:p>
            <w:pPr>
              <w:wordWrap w:val="off"/>
            </w:pPr>
          </w:p>
        </w:tc>
      </w:tr>
      <w:tr>
        <w:trPr>
          <w:trHeight w:val="720"/>
        </w:trPr>
        <w:tc>
          <w:tcPr>
            <w:tcW w:type="dxa" w:w="1200"/>
            <w:tcBorders>
              <w:top w:val="single" w:sz="6"/>
              <w:left w:val="single" w:sz="12"/>
              <w:bottom w:val="nil"/>
              <w:right w:val="nil"/>
            </w:tcBorders>
            <w:tcMar>
              <w:top w:w="20" w:type="dxa"/>
              <w:left w:w="20" w:type="dxa"/>
              <w:bottom w:w="20" w:type="dxa"/>
              <w:right w:w="20" w:type="dxa"/>
            </w:tcMar>
            <w:vAlign w:val="center"/>
          </w:tcPr>
          <w:p>
            <w:pPr>
              <w:wordWrap w:val="off"/>
              <w:spacing w:lineRule="exact" w:line="378"/>
              <w:jc w:val="center"/>
            </w:pPr>
            <w:r>
              <w:rPr>
                <w:rFonts w:ascii="宋体" w:hAnsi="宋体" w:cs="宋体" w:eastAsia="宋体"/>
                <w:color w:val="000000"/>
                <w:sz w:val="21"/>
              </w:rPr>
              <w:t>投标报价</w:t>
            </w:r>
          </w:p>
        </w:tc>
        <w:tc>
          <w:tcPr>
            <w:tcW w:type="dxa" w:w="69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40</w:t>
            </w:r>
          </w:p>
        </w:tc>
        <w:tc>
          <w:tcPr>
            <w:tcW w:type="dxa" w:w="7080"/>
            <w:tcBorders>
              <w:top w:val="single" w:sz="6"/>
              <w:left w:val="single" w:sz="6"/>
              <w:bottom w:val="nil"/>
              <w:right w:val="nil"/>
            </w:tcBorders>
            <w:tcMar>
              <w:top w:w="20" w:type="dxa"/>
              <w:left w:w="20" w:type="dxa"/>
              <w:bottom w:w="20" w:type="dxa"/>
              <w:right w:w="20" w:type="dxa"/>
            </w:tcMar>
            <w:vAlign w:val="top"/>
          </w:tcPr>
          <w:p>
            <w:pPr>
              <w:wordWrap w:val="off"/>
              <w:spacing w:lineRule="exact" w:line="378"/>
              <w:jc w:val="left"/>
            </w:pPr>
            <w:r>
              <w:rPr>
                <w:rFonts w:ascii="宋体" w:hAnsi="宋体" w:cs="宋体" w:eastAsia="宋体"/>
                <w:b w:val="true"/>
                <w:color w:val="000000"/>
                <w:sz w:val="21"/>
              </w:rPr>
              <w:t>投标最低报价为评标基准价</w:t>
            </w:r>
            <w:r>
              <w:rPr>
                <w:rFonts w:ascii="宋体" w:hAnsi="宋体" w:cs="宋体" w:eastAsia="宋体"/>
                <w:color w:val="000000"/>
                <w:sz w:val="21"/>
              </w:rPr>
              <w:t>：满足招标文件要求且投标价格最低的投标报价为评标基准价，其价格分为满分。其他投标人的价格分统一按照下列公式计算：投标报价得分=(评标基准价/投标报价)×</w:t>
            </w:r>
            <w:r>
              <w:rPr>
                <w:rFonts w:ascii="宋体" w:hAnsi="宋体" w:cs="宋体" w:eastAsia="宋体"/>
                <w:color w:val="000000"/>
                <w:sz w:val="21"/>
              </w:rPr>
              <w:t>40</w:t>
            </w:r>
            <w:r>
              <w:rPr>
                <w:rFonts w:ascii="宋体" w:hAnsi="宋体" w:cs="宋体" w:eastAsia="宋体"/>
                <w:color w:val="000000"/>
                <w:sz w:val="21"/>
              </w:rPr>
              <w:t>。</w:t>
            </w:r>
          </w:p>
        </w:tc>
        <w:tc>
          <w:tcPr>
            <w:tcW w:type="dxa" w:w="600"/>
            <w:tcBorders>
              <w:top w:val="nil"/>
              <w:left w:val="single" w:sz="12"/>
              <w:bottom w:val="nil"/>
              <w:right w:val="nil"/>
            </w:tcBorders>
            <w:tcMar>
              <w:top w:w="20" w:type="dxa"/>
              <w:left w:w="20" w:type="dxa"/>
              <w:bottom w:w="20" w:type="dxa"/>
              <w:right w:w="20" w:type="dxa"/>
            </w:tcMar>
            <w:vAlign w:val="center"/>
          </w:tcPr>
          <w:p>
            <w:pPr>
              <w:wordWrap w:val="off"/>
            </w:pPr>
          </w:p>
        </w:tc>
      </w:tr>
      <w:tr>
        <w:trPr>
          <w:trHeight w:val="720"/>
        </w:trPr>
        <w:tc>
          <w:tcPr>
            <w:tcW w:type="dxa" w:w="1200"/>
            <w:tcBorders>
              <w:top w:val="single" w:sz="6"/>
              <w:left w:val="single" w:sz="12"/>
              <w:bottom w:val="nil"/>
              <w:right w:val="nil"/>
            </w:tcBorders>
            <w:tcMar>
              <w:top w:w="20" w:type="dxa"/>
              <w:left w:w="20" w:type="dxa"/>
              <w:bottom w:w="20" w:type="dxa"/>
              <w:right w:w="20" w:type="dxa"/>
            </w:tcMar>
            <w:vAlign w:val="center"/>
          </w:tcPr>
          <w:p>
            <w:pPr>
              <w:wordWrap w:val="off"/>
              <w:spacing w:lineRule="exact" w:line="378"/>
              <w:jc w:val="center"/>
            </w:pPr>
            <w:r>
              <w:rPr>
                <w:rFonts w:ascii="宋体" w:hAnsi="宋体" w:cs="宋体" w:eastAsia="宋体"/>
                <w:color w:val="000000"/>
                <w:sz w:val="21"/>
              </w:rPr>
              <w:t>技术参数响应</w:t>
            </w:r>
          </w:p>
        </w:tc>
        <w:tc>
          <w:tcPr>
            <w:tcW w:type="dxa" w:w="69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25</w:t>
            </w:r>
          </w:p>
        </w:tc>
        <w:tc>
          <w:tcPr>
            <w:tcW w:type="dxa" w:w="7080"/>
            <w:tcBorders>
              <w:top w:val="single" w:sz="6"/>
              <w:left w:val="single" w:sz="6"/>
              <w:bottom w:val="nil"/>
              <w:right w:val="nil"/>
            </w:tcBorders>
            <w:tcMar>
              <w:top w:w="20" w:type="dxa"/>
              <w:left w:w="20" w:type="dxa"/>
              <w:bottom w:w="20" w:type="dxa"/>
              <w:right w:w="20" w:type="dxa"/>
            </w:tcMar>
            <w:vAlign w:val="top"/>
          </w:tcPr>
          <w:p>
            <w:pPr>
              <w:wordWrap w:val="off"/>
              <w:spacing w:lineRule="exact" w:line="378"/>
              <w:jc w:val="left"/>
            </w:pPr>
            <w:r>
              <w:rPr>
                <w:rFonts w:ascii="宋体" w:hAnsi="宋体" w:cs="宋体" w:eastAsia="宋体"/>
                <w:color w:val="000000"/>
                <w:sz w:val="21"/>
              </w:rPr>
              <w:t>由评标委员会根据《报价明细表》《技术要求响应表》的响应情况进行打分，完全满足采购文件技术要求的得25分；标★号的为关键指标，不满足扣3分；其他参数不满足扣2分。供应商须逐条应答，未应答条目视为负偏离。</w:t>
            </w:r>
          </w:p>
          <w:p>
            <w:pPr>
              <w:wordWrap w:val="off"/>
              <w:spacing w:before="0" w:after="0" w:lineRule="exact" w:line="378"/>
              <w:jc w:val="left"/>
            </w:pPr>
          </w:p>
        </w:tc>
        <w:tc>
          <w:tcPr>
            <w:tcW w:type="dxa" w:w="600"/>
            <w:tcBorders>
              <w:top w:val="nil"/>
              <w:left w:val="single" w:sz="12"/>
              <w:bottom w:val="nil"/>
              <w:right w:val="nil"/>
            </w:tcBorders>
            <w:tcMar>
              <w:top w:w="20" w:type="dxa"/>
              <w:left w:w="20" w:type="dxa"/>
              <w:bottom w:w="20" w:type="dxa"/>
              <w:right w:w="20" w:type="dxa"/>
            </w:tcMar>
            <w:vAlign w:val="center"/>
          </w:tcPr>
          <w:p>
            <w:pPr>
              <w:wordWrap w:val="off"/>
              <w:jc w:val="left"/>
            </w:pPr>
          </w:p>
        </w:tc>
      </w:tr>
      <w:tr>
        <w:trPr>
          <w:trHeight w:val="720"/>
        </w:trPr>
        <w:tc>
          <w:tcPr>
            <w:tcW w:type="dxa" w:w="1200"/>
            <w:tcBorders>
              <w:top w:val="single" w:sz="6"/>
              <w:left w:val="single" w:sz="12"/>
              <w:bottom w:val="nil"/>
              <w:right w:val="nil"/>
            </w:tcBorders>
            <w:tcMar>
              <w:top w:w="20" w:type="dxa"/>
              <w:left w:w="20" w:type="dxa"/>
              <w:bottom w:w="20" w:type="dxa"/>
              <w:right w:w="20" w:type="dxa"/>
            </w:tcMar>
            <w:vAlign w:val="center"/>
          </w:tcPr>
          <w:p>
            <w:pPr>
              <w:wordWrap w:val="off"/>
              <w:spacing w:lineRule="exact" w:line="378"/>
              <w:jc w:val="center"/>
            </w:pPr>
            <w:r>
              <w:rPr>
                <w:rFonts w:ascii="宋体" w:hAnsi="宋体" w:cs="宋体" w:eastAsia="宋体"/>
                <w:color w:val="000000"/>
                <w:sz w:val="21"/>
              </w:rPr>
              <w:t>项目实施方案</w:t>
            </w:r>
          </w:p>
        </w:tc>
        <w:tc>
          <w:tcPr>
            <w:tcW w:type="dxa" w:w="69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10</w:t>
            </w:r>
          </w:p>
        </w:tc>
        <w:tc>
          <w:tcPr>
            <w:tcW w:type="dxa" w:w="7080"/>
            <w:tcBorders>
              <w:top w:val="single" w:sz="6"/>
              <w:left w:val="single" w:sz="6"/>
              <w:bottom w:val="nil"/>
              <w:right w:val="nil"/>
            </w:tcBorders>
            <w:tcMar>
              <w:top w:w="20" w:type="dxa"/>
              <w:left w:w="20" w:type="dxa"/>
              <w:bottom w:w="20" w:type="dxa"/>
              <w:right w:w="20" w:type="dxa"/>
            </w:tcMar>
            <w:vAlign w:val="top"/>
          </w:tcPr>
          <w:p>
            <w:pPr>
              <w:wordWrap w:val="off"/>
              <w:spacing w:lineRule="exact" w:line="378"/>
              <w:jc w:val="left"/>
            </w:pPr>
            <w:r>
              <w:rPr>
                <w:rFonts w:ascii="宋体" w:hAnsi="宋体" w:cs="宋体" w:eastAsia="宋体"/>
                <w:color w:val="000000"/>
                <w:sz w:val="21"/>
              </w:rPr>
              <w:t>根据投标人对本项目的总体认识、项目管理框架、技术方案、系统测试、信息安全管理、人员配置计划、时间进度安排、安装调试及验收方案的合理性、科学性等进行比较评分。</w:t>
            </w:r>
          </w:p>
          <w:p>
            <w:pPr>
              <w:wordWrap w:val="off"/>
              <w:spacing w:before="0" w:after="0" w:lineRule="exact" w:line="378"/>
              <w:jc w:val="left"/>
            </w:pPr>
            <w:r>
              <w:rPr>
                <w:rFonts w:ascii="宋体" w:hAnsi="宋体" w:cs="宋体" w:eastAsia="宋体"/>
                <w:color w:val="000000"/>
                <w:sz w:val="21"/>
              </w:rPr>
              <w:t>认识深刻，框架完整，技术先进，测试周密，安全严密，人员匹配，进度可控，调试验收规范的得10分。</w:t>
            </w:r>
          </w:p>
          <w:p>
            <w:pPr>
              <w:wordWrap w:val="off"/>
              <w:spacing w:before="0" w:after="0" w:lineRule="exact" w:line="378"/>
              <w:jc w:val="left"/>
            </w:pPr>
            <w:r>
              <w:rPr>
                <w:rFonts w:ascii="宋体" w:hAnsi="宋体" w:cs="宋体" w:eastAsia="宋体"/>
                <w:color w:val="000000"/>
                <w:sz w:val="21"/>
              </w:rPr>
              <w:t>认识到位，框架齐全，技术可行，测试较全，安全有措，人员基本匹配，进度较合理，调验较规范得7分。</w:t>
            </w:r>
          </w:p>
          <w:p>
            <w:pPr>
              <w:wordWrap w:val="off"/>
              <w:spacing w:before="0" w:after="0" w:lineRule="exact" w:line="378"/>
              <w:jc w:val="left"/>
            </w:pPr>
            <w:r>
              <w:rPr>
                <w:rFonts w:ascii="宋体" w:hAnsi="宋体" w:cs="宋体" w:eastAsia="宋体"/>
                <w:color w:val="000000"/>
                <w:sz w:val="21"/>
              </w:rPr>
              <w:t>认识浅显，框架缺失，技术粗略，测试不足，安全薄弱，人员欠匹配，进度模糊，调验缺方案的得3分。</w:t>
            </w:r>
          </w:p>
          <w:p>
            <w:pPr>
              <w:wordWrap w:val="off"/>
              <w:spacing w:before="0" w:after="0" w:lineRule="exact" w:line="378"/>
              <w:jc w:val="left"/>
            </w:pPr>
            <w:r>
              <w:rPr>
                <w:rFonts w:ascii="宋体" w:hAnsi="宋体" w:cs="宋体" w:eastAsia="宋体"/>
                <w:color w:val="000000"/>
                <w:sz w:val="21"/>
              </w:rPr>
              <w:t>未提供相关内容的得0分。</w:t>
            </w:r>
          </w:p>
          <w:p>
            <w:pPr>
              <w:wordWrap w:val="off"/>
              <w:spacing w:before="0" w:after="0" w:lineRule="exact" w:line="378"/>
              <w:jc w:val="left"/>
            </w:pPr>
          </w:p>
        </w:tc>
        <w:tc>
          <w:tcPr>
            <w:tcW w:type="dxa" w:w="600"/>
            <w:tcBorders>
              <w:top w:val="nil"/>
              <w:left w:val="single" w:sz="12"/>
              <w:bottom w:val="nil"/>
              <w:right w:val="nil"/>
            </w:tcBorders>
            <w:tcMar>
              <w:top w:w="20" w:type="dxa"/>
              <w:left w:w="20" w:type="dxa"/>
              <w:bottom w:w="20" w:type="dxa"/>
              <w:right w:w="20" w:type="dxa"/>
            </w:tcMar>
            <w:vAlign w:val="center"/>
          </w:tcPr>
          <w:p>
            <w:pPr>
              <w:wordWrap w:val="off"/>
              <w:jc w:val="left"/>
            </w:pPr>
          </w:p>
        </w:tc>
      </w:tr>
      <w:tr>
        <w:trPr>
          <w:trHeight w:val="720"/>
        </w:trPr>
        <w:tc>
          <w:tcPr>
            <w:tcW w:type="dxa" w:w="1200"/>
            <w:tcBorders>
              <w:top w:val="single" w:sz="6"/>
              <w:left w:val="single" w:sz="12"/>
              <w:bottom w:val="nil"/>
              <w:right w:val="nil"/>
            </w:tcBorders>
            <w:tcMar>
              <w:top w:w="20" w:type="dxa"/>
              <w:left w:w="20" w:type="dxa"/>
              <w:bottom w:w="20" w:type="dxa"/>
              <w:right w:w="20" w:type="dxa"/>
            </w:tcMar>
            <w:vAlign w:val="center"/>
          </w:tcPr>
          <w:p>
            <w:pPr>
              <w:wordWrap w:val="off"/>
              <w:spacing w:lineRule="exact" w:line="378"/>
              <w:jc w:val="center"/>
            </w:pPr>
            <w:r>
              <w:rPr>
                <w:rFonts w:ascii="宋体" w:hAnsi="宋体" w:cs="宋体" w:eastAsia="宋体"/>
                <w:color w:val="000000"/>
                <w:sz w:val="21"/>
              </w:rPr>
              <w:t>培训及服务响应</w:t>
            </w:r>
          </w:p>
        </w:tc>
        <w:tc>
          <w:tcPr>
            <w:tcW w:type="dxa" w:w="69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5</w:t>
            </w:r>
          </w:p>
        </w:tc>
        <w:tc>
          <w:tcPr>
            <w:tcW w:type="dxa" w:w="7080"/>
            <w:tcBorders>
              <w:top w:val="single" w:sz="6"/>
              <w:left w:val="single" w:sz="6"/>
              <w:bottom w:val="nil"/>
              <w:right w:val="nil"/>
            </w:tcBorders>
            <w:tcMar>
              <w:top w:w="20" w:type="dxa"/>
              <w:left w:w="20" w:type="dxa"/>
              <w:bottom w:w="20" w:type="dxa"/>
              <w:right w:w="20" w:type="dxa"/>
            </w:tcMar>
            <w:vAlign w:val="top"/>
          </w:tcPr>
          <w:p>
            <w:pPr>
              <w:wordWrap w:val="off"/>
              <w:spacing w:lineRule="exact" w:line="378"/>
              <w:jc w:val="left"/>
            </w:pPr>
            <w:r>
              <w:rPr>
                <w:rFonts w:ascii="宋体" w:hAnsi="宋体" w:cs="宋体" w:eastAsia="宋体"/>
                <w:color w:val="000000"/>
                <w:sz w:val="21"/>
              </w:rPr>
              <w:t>对投标人提供的培训计划安排和服务承诺情况进行评分。</w:t>
            </w:r>
          </w:p>
          <w:p>
            <w:pPr>
              <w:wordWrap w:val="off"/>
              <w:spacing w:before="0" w:after="0" w:lineRule="exact" w:line="378"/>
              <w:jc w:val="left"/>
            </w:pPr>
            <w:r>
              <w:rPr>
                <w:rFonts w:ascii="宋体" w:hAnsi="宋体" w:cs="宋体" w:eastAsia="宋体"/>
                <w:color w:val="000000"/>
                <w:sz w:val="21"/>
              </w:rPr>
              <w:t>方案详尽，覆盖全面，安排科学，师资优秀，体系完善，响应迅捷，保障充分，演练到位，经验丰富的，得5分。</w:t>
            </w:r>
          </w:p>
          <w:p>
            <w:pPr>
              <w:wordWrap w:val="off"/>
              <w:spacing w:before="0" w:after="0" w:lineRule="exact" w:line="378"/>
              <w:jc w:val="left"/>
            </w:pPr>
            <w:r>
              <w:rPr>
                <w:rFonts w:ascii="宋体" w:hAnsi="宋体" w:cs="宋体" w:eastAsia="宋体"/>
                <w:color w:val="000000"/>
                <w:sz w:val="21"/>
              </w:rPr>
              <w:t>内容较全，安排合理，师资尚可，体系较健，响应较快，保障一般，演练一般，经验中等的，得3分。</w:t>
            </w:r>
          </w:p>
          <w:p>
            <w:pPr>
              <w:wordWrap w:val="off"/>
              <w:spacing w:before="0" w:after="0" w:lineRule="exact" w:line="378"/>
              <w:jc w:val="left"/>
            </w:pPr>
            <w:r>
              <w:rPr>
                <w:rFonts w:ascii="宋体" w:hAnsi="宋体" w:cs="宋体" w:eastAsia="宋体"/>
                <w:color w:val="000000"/>
                <w:sz w:val="21"/>
              </w:rPr>
              <w:t>未提供相关内容的，得0分。</w:t>
            </w:r>
          </w:p>
        </w:tc>
        <w:tc>
          <w:tcPr>
            <w:tcW w:type="dxa" w:w="600"/>
            <w:tcBorders>
              <w:top w:val="nil"/>
              <w:left w:val="single" w:sz="12"/>
              <w:bottom w:val="nil"/>
              <w:right w:val="nil"/>
            </w:tcBorders>
            <w:tcMar>
              <w:top w:w="20" w:type="dxa"/>
              <w:left w:w="20" w:type="dxa"/>
              <w:bottom w:w="20" w:type="dxa"/>
              <w:right w:w="20" w:type="dxa"/>
            </w:tcMar>
            <w:vAlign w:val="center"/>
          </w:tcPr>
          <w:p>
            <w:pPr>
              <w:wordWrap w:val="off"/>
              <w:jc w:val="left"/>
            </w:pPr>
          </w:p>
        </w:tc>
      </w:tr>
      <w:tr>
        <w:trPr>
          <w:trHeight w:val="720"/>
        </w:trPr>
        <w:tc>
          <w:tcPr>
            <w:tcW w:type="dxa" w:w="1200"/>
            <w:tcBorders>
              <w:top w:val="single" w:sz="6"/>
              <w:left w:val="single" w:sz="12"/>
              <w:bottom w:val="nil"/>
              <w:right w:val="nil"/>
            </w:tcBorders>
            <w:tcMar>
              <w:top w:w="20" w:type="dxa"/>
              <w:left w:w="20" w:type="dxa"/>
              <w:bottom w:w="20" w:type="dxa"/>
              <w:right w:w="20" w:type="dxa"/>
            </w:tcMar>
            <w:vAlign w:val="center"/>
          </w:tcPr>
          <w:p>
            <w:pPr>
              <w:wordWrap w:val="off"/>
              <w:spacing w:lineRule="exact" w:line="378"/>
              <w:jc w:val="center"/>
            </w:pPr>
            <w:r>
              <w:rPr>
                <w:rFonts w:ascii="宋体" w:hAnsi="宋体" w:cs="宋体" w:eastAsia="宋体"/>
                <w:color w:val="000000"/>
                <w:sz w:val="21"/>
              </w:rPr>
              <w:t>质保期</w:t>
            </w:r>
          </w:p>
        </w:tc>
        <w:tc>
          <w:tcPr>
            <w:tcW w:type="dxa" w:w="69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4</w:t>
            </w:r>
          </w:p>
        </w:tc>
        <w:tc>
          <w:tcPr>
            <w:tcW w:type="dxa" w:w="7080"/>
            <w:tcBorders>
              <w:top w:val="single" w:sz="6"/>
              <w:left w:val="single" w:sz="6"/>
              <w:bottom w:val="nil"/>
              <w:right w:val="nil"/>
            </w:tcBorders>
            <w:tcMar>
              <w:top w:w="20" w:type="dxa"/>
              <w:left w:w="20" w:type="dxa"/>
              <w:bottom w:w="20" w:type="dxa"/>
              <w:right w:w="20" w:type="dxa"/>
            </w:tcMar>
            <w:vAlign w:val="top"/>
          </w:tcPr>
          <w:p>
            <w:pPr>
              <w:wordWrap w:val="off"/>
              <w:spacing w:lineRule="exact" w:line="378"/>
              <w:jc w:val="left"/>
            </w:pPr>
            <w:r>
              <w:rPr>
                <w:rFonts w:ascii="宋体" w:hAnsi="宋体" w:cs="宋体" w:eastAsia="宋体"/>
                <w:color w:val="000000"/>
                <w:sz w:val="21"/>
              </w:rPr>
              <w:t>质保期比招标文件要求免费质保延长1年得2分，最多得4分。需提供承诺函，格式自拟。</w:t>
            </w:r>
          </w:p>
        </w:tc>
        <w:tc>
          <w:tcPr>
            <w:tcW w:type="dxa" w:w="600"/>
            <w:tcBorders>
              <w:top w:val="nil"/>
              <w:left w:val="single" w:sz="12"/>
              <w:bottom w:val="nil"/>
              <w:right w:val="nil"/>
            </w:tcBorders>
            <w:tcMar>
              <w:top w:w="20" w:type="dxa"/>
              <w:left w:w="20" w:type="dxa"/>
              <w:bottom w:w="20" w:type="dxa"/>
              <w:right w:w="20" w:type="dxa"/>
            </w:tcMar>
            <w:vAlign w:val="center"/>
          </w:tcPr>
          <w:p>
            <w:pPr>
              <w:wordWrap w:val="off"/>
              <w:jc w:val="left"/>
            </w:pPr>
          </w:p>
        </w:tc>
      </w:tr>
      <w:tr>
        <w:trPr>
          <w:trHeight w:val="720"/>
        </w:trPr>
        <w:tc>
          <w:tcPr>
            <w:tcW w:type="dxa" w:w="1200"/>
            <w:tcBorders>
              <w:top w:val="single" w:sz="6"/>
              <w:left w:val="single" w:sz="12"/>
              <w:bottom w:val="nil"/>
              <w:right w:val="nil"/>
            </w:tcBorders>
            <w:tcMar>
              <w:top w:w="20" w:type="dxa"/>
              <w:left w:w="20" w:type="dxa"/>
              <w:bottom w:w="20" w:type="dxa"/>
              <w:right w:w="20" w:type="dxa"/>
            </w:tcMar>
            <w:vAlign w:val="center"/>
          </w:tcPr>
          <w:p>
            <w:pPr>
              <w:wordWrap w:val="off"/>
              <w:spacing w:lineRule="exact" w:line="378"/>
              <w:jc w:val="center"/>
            </w:pPr>
            <w:r>
              <w:rPr>
                <w:rFonts w:ascii="宋体" w:hAnsi="宋体" w:cs="宋体" w:eastAsia="宋体"/>
                <w:color w:val="000000"/>
                <w:sz w:val="21"/>
              </w:rPr>
              <w:t>企业综合能力</w:t>
            </w:r>
          </w:p>
        </w:tc>
        <w:tc>
          <w:tcPr>
            <w:tcW w:type="dxa" w:w="69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10</w:t>
            </w:r>
          </w:p>
        </w:tc>
        <w:tc>
          <w:tcPr>
            <w:tcW w:type="dxa" w:w="7080"/>
            <w:tcBorders>
              <w:top w:val="single" w:sz="6"/>
              <w:left w:val="single" w:sz="6"/>
              <w:bottom w:val="nil"/>
              <w:right w:val="nil"/>
            </w:tcBorders>
            <w:tcMar>
              <w:top w:w="20" w:type="dxa"/>
              <w:left w:w="20" w:type="dxa"/>
              <w:bottom w:w="20" w:type="dxa"/>
              <w:right w:w="20" w:type="dxa"/>
            </w:tcMar>
            <w:vAlign w:val="top"/>
          </w:tcPr>
          <w:p>
            <w:pPr>
              <w:wordWrap w:val="off"/>
              <w:spacing w:lineRule="exact" w:line="378"/>
              <w:jc w:val="left"/>
            </w:pPr>
            <w:r>
              <w:rPr>
                <w:rFonts w:ascii="宋体" w:hAnsi="宋体" w:cs="宋体" w:eastAsia="宋体"/>
                <w:color w:val="000000"/>
                <w:sz w:val="21"/>
              </w:rPr>
              <w:t>企业资质（6分）</w:t>
            </w:r>
          </w:p>
          <w:p>
            <w:pPr>
              <w:wordWrap w:val="off"/>
              <w:spacing w:before="0" w:after="0" w:lineRule="exact" w:line="378"/>
              <w:jc w:val="left"/>
            </w:pPr>
            <w:r>
              <w:rPr>
                <w:rFonts w:ascii="宋体" w:hAnsi="宋体" w:cs="宋体" w:eastAsia="宋体"/>
                <w:color w:val="000000"/>
                <w:sz w:val="21"/>
              </w:rPr>
              <w:t>（1）投标人具有ISO4001环境管理体系，具有IS045001职业健康安全管理体系每提供1项得2分，本项最高得4分。可在国家市场监督管理总局公共服务平台http://cx.cnca.cn查询验证，须提供证书复印件和网站截图并加盖公章；</w:t>
            </w:r>
          </w:p>
          <w:p>
            <w:pPr>
              <w:wordWrap w:val="off"/>
              <w:spacing w:before="0" w:after="0" w:lineRule="exact" w:line="378"/>
              <w:jc w:val="left"/>
            </w:pPr>
            <w:r>
              <w:rPr>
                <w:rFonts w:ascii="宋体" w:hAnsi="宋体" w:cs="宋体" w:eastAsia="宋体"/>
                <w:color w:val="000000"/>
                <w:sz w:val="21"/>
              </w:rPr>
              <w:t>（2）所投产品生产商具有网络资源访问方法、装置、计算机设备和存储介质相关专利的，得2分</w:t>
            </w:r>
          </w:p>
          <w:p>
            <w:pPr>
              <w:wordWrap w:val="off"/>
              <w:spacing w:before="0" w:after="0" w:lineRule="exact" w:line="378"/>
              <w:jc w:val="left"/>
            </w:pPr>
            <w:r>
              <w:rPr>
                <w:rFonts w:ascii="宋体" w:hAnsi="宋体" w:cs="宋体" w:eastAsia="宋体"/>
                <w:color w:val="000000"/>
                <w:sz w:val="21"/>
              </w:rPr>
              <w:t>（提供证书复印件或测试报告或有效证明材料）</w:t>
            </w:r>
          </w:p>
          <w:p>
            <w:pPr>
              <w:wordWrap w:val="off"/>
              <w:spacing w:before="0" w:after="0" w:lineRule="exact" w:line="378"/>
              <w:jc w:val="left"/>
            </w:pPr>
            <w:r>
              <w:rPr>
                <w:rFonts w:ascii="宋体" w:hAnsi="宋体" w:cs="宋体" w:eastAsia="宋体"/>
                <w:color w:val="000000"/>
                <w:sz w:val="21"/>
              </w:rPr>
              <w:t>人员配备情况（4分）：</w:t>
            </w:r>
          </w:p>
          <w:p>
            <w:pPr>
              <w:wordWrap w:val="off"/>
              <w:spacing w:before="0" w:after="0" w:lineRule="exact" w:line="378"/>
              <w:jc w:val="left"/>
            </w:pPr>
            <w:r>
              <w:rPr>
                <w:rFonts w:ascii="宋体" w:hAnsi="宋体" w:cs="宋体" w:eastAsia="宋体"/>
                <w:color w:val="000000"/>
                <w:sz w:val="21"/>
              </w:rPr>
              <w:t>（1）投标人承诺所投产品生产商为本项目配备一名项目负责人，该项目负责人具有系统集成项目管理工程师、PMP证书，每提供一个证书得1分，本项满分2分</w:t>
            </w:r>
          </w:p>
          <w:p>
            <w:pPr>
              <w:wordWrap w:val="off"/>
              <w:spacing w:before="0" w:after="0" w:lineRule="exact" w:line="378"/>
              <w:jc w:val="left"/>
            </w:pPr>
            <w:r>
              <w:rPr>
                <w:rFonts w:ascii="宋体" w:hAnsi="宋体" w:cs="宋体" w:eastAsia="宋体"/>
                <w:color w:val="000000"/>
                <w:sz w:val="21"/>
              </w:rPr>
              <w:t>（2）投标人承诺所投产品生产商为本项目配备一名技术负责人（与项目负责人不能是同一人），该技术负责人具有系统集成项目管理工程师证书，提供一个证书得1分。</w:t>
            </w:r>
          </w:p>
          <w:p>
            <w:pPr>
              <w:wordWrap w:val="off"/>
              <w:spacing w:before="0" w:after="0" w:lineRule="exact" w:line="378"/>
              <w:jc w:val="left"/>
            </w:pPr>
            <w:r>
              <w:rPr>
                <w:rFonts w:ascii="宋体" w:hAnsi="宋体" w:cs="宋体" w:eastAsia="宋体"/>
                <w:color w:val="000000"/>
                <w:sz w:val="21"/>
              </w:rPr>
              <w:t>（3）投标人承诺所投产品生产商为本项目配备两名实施人员（与以上人员不得为同一人），该实施人员具有PMP证书，提供一个证书得1分。</w:t>
            </w:r>
          </w:p>
          <w:p>
            <w:pPr>
              <w:wordWrap w:val="off"/>
              <w:spacing w:before="0" w:after="0" w:lineRule="exact" w:line="378"/>
              <w:jc w:val="left"/>
            </w:pPr>
            <w:r>
              <w:rPr>
                <w:rFonts w:ascii="宋体" w:hAnsi="宋体" w:cs="宋体" w:eastAsia="宋体"/>
                <w:color w:val="000000"/>
                <w:sz w:val="21"/>
              </w:rPr>
              <w:t>注：投标人需提供以下合法有效的证明材料：</w:t>
            </w:r>
          </w:p>
          <w:p>
            <w:pPr>
              <w:wordWrap w:val="off"/>
              <w:spacing w:before="0" w:after="0" w:lineRule="exact" w:line="378"/>
              <w:jc w:val="left"/>
            </w:pPr>
            <w:r>
              <w:rPr>
                <w:rFonts w:ascii="宋体" w:hAnsi="宋体" w:cs="宋体" w:eastAsia="宋体"/>
                <w:color w:val="000000"/>
                <w:sz w:val="21"/>
              </w:rPr>
              <w:t>（1）本项目所配备人员的身份证扫描件（正反面）；</w:t>
            </w:r>
          </w:p>
          <w:p>
            <w:pPr>
              <w:wordWrap w:val="off"/>
              <w:spacing w:before="0" w:after="0" w:lineRule="exact" w:line="378"/>
              <w:jc w:val="left"/>
            </w:pPr>
            <w:r>
              <w:rPr>
                <w:rFonts w:ascii="宋体" w:hAnsi="宋体" w:cs="宋体" w:eastAsia="宋体"/>
                <w:color w:val="000000"/>
                <w:sz w:val="21"/>
              </w:rPr>
              <w:t>（2）提供由缴纳的自2025年以来的任意连续三个月社保证明材料扫描件或劳动合同扫描件（如提供社保清单为单位整体人员清单）</w:t>
            </w:r>
          </w:p>
          <w:p>
            <w:pPr>
              <w:wordWrap w:val="off"/>
              <w:spacing w:before="0" w:after="0" w:lineRule="exact" w:line="378"/>
              <w:jc w:val="left"/>
            </w:pPr>
            <w:r>
              <w:rPr>
                <w:rFonts w:ascii="宋体" w:hAnsi="宋体" w:cs="宋体" w:eastAsia="宋体"/>
                <w:color w:val="000000"/>
                <w:sz w:val="21"/>
              </w:rPr>
              <w:t>投标人需提交生产商为本项目提供的企业资质和人员配备情况的承诺函</w:t>
            </w:r>
          </w:p>
          <w:p>
            <w:pPr>
              <w:wordWrap w:val="off"/>
              <w:spacing w:before="0" w:after="0" w:lineRule="exact" w:line="378"/>
              <w:jc w:val="left"/>
            </w:pPr>
          </w:p>
          <w:p>
            <w:pPr>
              <w:wordWrap w:val="off"/>
              <w:spacing w:before="0" w:after="0" w:lineRule="exact" w:line="378"/>
              <w:jc w:val="left"/>
            </w:pPr>
          </w:p>
        </w:tc>
        <w:tc>
          <w:tcPr>
            <w:tcW w:type="dxa" w:w="600"/>
            <w:tcBorders>
              <w:top w:val="nil"/>
              <w:left w:val="single" w:sz="12"/>
              <w:bottom w:val="nil"/>
              <w:right w:val="nil"/>
            </w:tcBorders>
            <w:tcMar>
              <w:top w:w="20" w:type="dxa"/>
              <w:left w:w="20" w:type="dxa"/>
              <w:bottom w:w="20" w:type="dxa"/>
              <w:right w:w="20" w:type="dxa"/>
            </w:tcMar>
            <w:vAlign w:val="center"/>
          </w:tcPr>
          <w:p>
            <w:pPr>
              <w:wordWrap w:val="off"/>
              <w:jc w:val="left"/>
            </w:pPr>
          </w:p>
        </w:tc>
      </w:tr>
      <w:tr>
        <w:trPr>
          <w:trHeight w:val="720"/>
        </w:trPr>
        <w:tc>
          <w:tcPr>
            <w:tcW w:type="dxa" w:w="1200"/>
            <w:tcBorders>
              <w:top w:val="single" w:sz="6"/>
              <w:left w:val="single" w:sz="12"/>
              <w:bottom w:val="nil"/>
              <w:right w:val="nil"/>
            </w:tcBorders>
            <w:tcMar>
              <w:top w:w="20" w:type="dxa"/>
              <w:left w:w="20" w:type="dxa"/>
              <w:bottom w:w="20" w:type="dxa"/>
              <w:right w:w="20" w:type="dxa"/>
            </w:tcMar>
            <w:vAlign w:val="center"/>
          </w:tcPr>
          <w:p>
            <w:pPr>
              <w:wordWrap w:val="off"/>
              <w:spacing w:lineRule="exact" w:line="378"/>
              <w:jc w:val="center"/>
            </w:pPr>
            <w:r>
              <w:rPr>
                <w:rFonts w:ascii="宋体" w:hAnsi="宋体" w:cs="宋体" w:eastAsia="宋体"/>
                <w:color w:val="000000"/>
                <w:sz w:val="21"/>
              </w:rPr>
              <w:t>类似业绩</w:t>
            </w:r>
          </w:p>
        </w:tc>
        <w:tc>
          <w:tcPr>
            <w:tcW w:type="dxa" w:w="69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6</w:t>
            </w:r>
          </w:p>
        </w:tc>
        <w:tc>
          <w:tcPr>
            <w:tcW w:type="dxa" w:w="7080"/>
            <w:tcBorders>
              <w:top w:val="single" w:sz="6"/>
              <w:left w:val="single" w:sz="6"/>
              <w:bottom w:val="nil"/>
              <w:right w:val="nil"/>
            </w:tcBorders>
            <w:tcMar>
              <w:top w:w="20" w:type="dxa"/>
              <w:left w:w="20" w:type="dxa"/>
              <w:bottom w:w="20" w:type="dxa"/>
              <w:right w:w="20" w:type="dxa"/>
            </w:tcMar>
            <w:vAlign w:val="top"/>
          </w:tcPr>
          <w:p>
            <w:pPr>
              <w:wordWrap w:val="off"/>
              <w:spacing w:lineRule="exact" w:line="378"/>
              <w:jc w:val="left"/>
            </w:pPr>
            <w:r>
              <w:rPr>
                <w:rFonts w:ascii="宋体" w:hAnsi="宋体" w:cs="宋体" w:eastAsia="宋体"/>
                <w:color w:val="000000"/>
                <w:sz w:val="21"/>
              </w:rPr>
              <w:t>所投产品生产商需提供2022年以来类似项目应用案例，每有一个合同得2分，本项最高得6分。</w:t>
            </w:r>
          </w:p>
          <w:p>
            <w:pPr>
              <w:wordWrap w:val="off"/>
              <w:spacing w:before="0" w:after="0" w:lineRule="exact" w:line="378"/>
              <w:jc w:val="left"/>
            </w:pPr>
            <w:r>
              <w:rPr>
                <w:rFonts w:ascii="宋体" w:hAnsi="宋体" w:cs="宋体" w:eastAsia="宋体"/>
                <w:color w:val="000000"/>
                <w:sz w:val="21"/>
              </w:rPr>
              <w:t>（须提供合同复印件并加盖公章）</w:t>
            </w:r>
          </w:p>
          <w:p>
            <w:pPr>
              <w:wordWrap w:val="off"/>
              <w:spacing w:before="0" w:after="0" w:lineRule="exact" w:line="378"/>
              <w:jc w:val="left"/>
            </w:pPr>
          </w:p>
        </w:tc>
        <w:tc>
          <w:tcPr>
            <w:tcW w:type="dxa" w:w="600"/>
            <w:tcBorders>
              <w:top w:val="nil"/>
              <w:left w:val="single" w:sz="12"/>
              <w:bottom w:val="nil"/>
              <w:right w:val="nil"/>
            </w:tcBorders>
            <w:tcMar>
              <w:top w:w="20" w:type="dxa"/>
              <w:left w:w="20" w:type="dxa"/>
              <w:bottom w:w="20" w:type="dxa"/>
              <w:right w:w="20" w:type="dxa"/>
            </w:tcMar>
            <w:vAlign w:val="center"/>
          </w:tcPr>
          <w:p>
            <w:pPr>
              <w:wordWrap w:val="off"/>
              <w:jc w:val="left"/>
            </w:pPr>
          </w:p>
        </w:tc>
      </w:tr>
      <w:tr>
        <w:trPr>
          <w:trHeight w:val="30" w:hRule="exact"/>
        </w:trPr>
        <w:tc>
          <w:tcPr>
            <w:tcW w:type="dxa" w:w="1200"/>
            <w:tcBorders>
              <w:top w:val="single" w:sz="12"/>
              <w:left w:val="nil"/>
              <w:bottom w:val="nil"/>
              <w:right w:val="nil"/>
            </w:tcBorders>
            <w:tcMar>
              <w:top w:w="20" w:type="dxa"/>
              <w:left w:w="20" w:type="dxa"/>
              <w:bottom w:w="20" w:type="dxa"/>
              <w:right w:w="20" w:type="dxa"/>
            </w:tcMar>
          </w:tcPr>
          <w:p>
            <w:pPr>
              <w:wordWrap w:val="off"/>
            </w:pPr>
          </w:p>
        </w:tc>
        <w:tc>
          <w:tcPr>
            <w:tcW w:type="dxa" w:w="690"/>
            <w:tcBorders>
              <w:top w:val="single" w:sz="12"/>
              <w:left w:val="nil"/>
              <w:bottom w:val="nil"/>
              <w:right w:val="nil"/>
            </w:tcBorders>
            <w:tcMar>
              <w:top w:w="20" w:type="dxa"/>
              <w:left w:w="20" w:type="dxa"/>
              <w:bottom w:w="20" w:type="dxa"/>
              <w:right w:w="20" w:type="dxa"/>
            </w:tcMar>
          </w:tcPr>
          <w:p>
            <w:pPr>
              <w:wordWrap w:val="off"/>
            </w:pPr>
          </w:p>
        </w:tc>
        <w:tc>
          <w:tcPr>
            <w:tcW w:type="dxa" w:w="7080"/>
            <w:tcBorders>
              <w:top w:val="single" w:sz="12"/>
              <w:left w:val="nil"/>
              <w:bottom w:val="nil"/>
              <w:right w:val="nil"/>
            </w:tcBorders>
            <w:tcMar>
              <w:top w:w="20" w:type="dxa"/>
              <w:left w:w="20" w:type="dxa"/>
              <w:bottom w:w="20" w:type="dxa"/>
              <w:right w:w="20" w:type="dxa"/>
            </w:tcMar>
          </w:tcPr>
          <w:p>
            <w:pPr>
              <w:wordWrap w:val="off"/>
            </w:pPr>
          </w:p>
        </w:tc>
        <w:tc>
          <w:tcPr>
            <w:tcW w:type="dxa" w:w="600"/>
            <w:tcBorders>
              <w:top w:val="nil"/>
              <w:left w:val="nil"/>
              <w:bottom w:val="nil"/>
              <w:right w:val="nil"/>
            </w:tcBorders>
            <w:tcMar>
              <w:top w:w="20" w:type="dxa"/>
              <w:left w:w="20" w:type="dxa"/>
              <w:bottom w:w="20" w:type="dxa"/>
              <w:right w:w="20" w:type="dxa"/>
            </w:tcMar>
          </w:tcPr>
          <w:p>
            <w:pPr>
              <w:wordWrap w:val="off"/>
            </w:pPr>
          </w:p>
        </w:tc>
      </w:tr>
    </w:tbl>
    <w:p>
      <w:pPr>
        <w:sectPr>
          <w:pgSz w:w="11907" w:h="16839" w:orient="portrait"/>
          <w:pgMar w:top="1077" w:right="1154" w:bottom="1077" w:left="1154"/>
        </w:sectPr>
      </w:pPr>
    </w:p>
    <w:p>
      <w:pPr>
        <w:wordWrap w:val="off"/>
        <w:spacing w:before="75" w:after="75"/>
        <w:jc w:val="center"/>
        <w:outlineLvl w:val="0"/>
      </w:pPr>
      <w:r>
        <w:rPr>
          <w:rFonts w:ascii="宋体" w:hAnsi="宋体" w:cs="宋体" w:eastAsia="宋体"/>
          <w:b w:val="true"/>
          <w:color w:val="000000"/>
          <w:sz w:val="40"/>
        </w:rPr>
        <w:t>第五章 合同文本格式</w:t>
      </w:r>
    </w:p>
    <w:p>
      <w:pPr>
        <w:spacing w:before="0" w:after="0" w:lineRule="exact" w:line="495"/>
      </w:pPr>
    </w:p>
    <w:p>
      <w:pPr>
        <w:spacing w:before="0" w:after="0" w:lineRule="exact" w:line="255"/>
      </w:pPr>
    </w:p>
    <w:p>
      <w:pPr>
        <w:wordWrap w:val="off"/>
        <w:spacing w:before="171" w:after="171"/>
        <w:jc w:val="center"/>
      </w:pPr>
      <w:r>
        <w:rPr>
          <w:rFonts w:ascii="宋体" w:hAnsi="宋体" w:cs="宋体" w:eastAsia="宋体"/>
          <w:b w:val="true"/>
          <w:color w:val="000000"/>
          <w:sz w:val="36"/>
        </w:rPr>
        <w:t>合同主要条款</w:t>
      </w:r>
    </w:p>
    <w:p>
      <w:pPr>
        <w:spacing w:before="0" w:after="0" w:lineRule="exact" w:line="255"/>
      </w:pPr>
    </w:p>
    <w:p>
      <w:pPr>
        <w:wordWrap w:val="off"/>
        <w:spacing w:lineRule="exact" w:line="378"/>
        <w:ind w:firstLineChars="200"/>
        <w:jc w:val="left"/>
      </w:pPr>
      <w:r>
        <w:rPr>
          <w:rFonts w:ascii="宋体" w:hAnsi="宋体" w:cs="宋体" w:eastAsia="宋体"/>
          <w:color w:val="000000"/>
          <w:sz w:val="21"/>
        </w:rPr>
        <w:t>甲方（采购人）：</w:t>
      </w:r>
      <w:r>
        <w:rPr>
          <w:rFonts w:ascii="宋体" w:hAnsi="宋体" w:cs="宋体" w:eastAsia="宋体"/>
          <w:color w:val="000000"/>
          <w:sz w:val="21"/>
        </w:rPr>
        <w:t>苏州科技大学</w:t>
      </w:r>
      <w:r>
        <w:rPr>
          <w:rFonts w:ascii="宋体" w:hAnsi="宋体" w:cs="宋体" w:eastAsia="宋体"/>
          <w:color w:val="000000"/>
          <w:sz w:val="21"/>
        </w:rPr>
        <w:t xml:space="preserve">                    </w:t>
      </w:r>
    </w:p>
    <w:p>
      <w:pPr>
        <w:wordWrap w:val="off"/>
        <w:spacing w:before="0" w:after="0" w:lineRule="exact" w:line="378"/>
        <w:ind w:firstLineChars="200"/>
        <w:jc w:val="left"/>
      </w:pPr>
      <w:r>
        <w:rPr>
          <w:rFonts w:ascii="宋体" w:hAnsi="宋体" w:cs="宋体" w:eastAsia="宋体"/>
          <w:color w:val="000000"/>
          <w:sz w:val="21"/>
        </w:rPr>
        <w:t>乙方（供应商）：</w:t>
      </w:r>
      <w:r>
        <w:rPr>
          <w:rFonts w:ascii="宋体" w:hAnsi="宋体" w:cs="宋体" w:eastAsia="宋体"/>
          <w:color w:val="000000"/>
          <w:sz w:val="21"/>
        </w:rPr>
        <w:t>　　　　　　　　　　　</w:t>
      </w:r>
    </w:p>
    <w:p>
      <w:pPr>
        <w:wordWrap w:val="off"/>
        <w:spacing w:before="0" w:after="0" w:lineRule="exact" w:line="378"/>
        <w:ind w:firstLineChars="200"/>
        <w:jc w:val="left"/>
      </w:pPr>
      <w:r>
        <w:rPr>
          <w:rFonts w:ascii="宋体" w:hAnsi="宋体" w:cs="宋体" w:eastAsia="宋体"/>
          <w:color w:val="000000"/>
          <w:sz w:val="21"/>
        </w:rPr>
        <w:t>项目编号：</w:t>
      </w:r>
      <w:r>
        <w:rPr>
          <w:rFonts w:ascii="宋体" w:hAnsi="宋体" w:cs="宋体" w:eastAsia="宋体"/>
          <w:color w:val="000000"/>
          <w:sz w:val="21"/>
        </w:rPr>
        <w:t>20250083号</w:t>
      </w:r>
    </w:p>
    <w:p>
      <w:pPr>
        <w:wordWrap w:val="off"/>
        <w:spacing w:before="0" w:after="0" w:lineRule="exact" w:line="378"/>
        <w:ind w:firstLineChars="200"/>
        <w:jc w:val="left"/>
      </w:pPr>
      <w:r>
        <w:rPr>
          <w:rFonts w:ascii="宋体" w:hAnsi="宋体" w:cs="宋体" w:eastAsia="宋体"/>
          <w:color w:val="000000"/>
          <w:sz w:val="21"/>
        </w:rPr>
        <w:t>合同编号：</w:t>
      </w:r>
      <w:r>
        <w:rPr>
          <w:rFonts w:ascii="宋体" w:hAnsi="宋体" w:cs="宋体" w:eastAsia="宋体"/>
          <w:color w:val="000000"/>
          <w:sz w:val="21"/>
        </w:rPr>
        <w:t>　　　　　　　　　　　</w:t>
      </w:r>
    </w:p>
    <w:p>
      <w:pPr>
        <w:wordWrap w:val="off"/>
        <w:spacing w:before="0" w:after="0" w:lineRule="exact" w:line="378"/>
        <w:ind w:firstLineChars="200"/>
        <w:jc w:val="left"/>
      </w:pPr>
      <w:r>
        <w:rPr>
          <w:rFonts w:ascii="宋体" w:hAnsi="宋体" w:cs="宋体" w:eastAsia="宋体"/>
          <w:color w:val="000000"/>
          <w:sz w:val="21"/>
        </w:rPr>
        <w:t>签订时间：</w:t>
      </w:r>
      <w:r>
        <w:rPr>
          <w:rFonts w:ascii="宋体" w:hAnsi="宋体" w:cs="宋体" w:eastAsia="宋体"/>
          <w:color w:val="000000"/>
          <w:sz w:val="21"/>
        </w:rPr>
        <w:t>　　　　　</w:t>
      </w:r>
    </w:p>
    <w:p>
      <w:pPr>
        <w:spacing w:before="0" w:after="0" w:lineRule="exact" w:line="315"/>
      </w:pPr>
    </w:p>
    <w:p>
      <w:pPr>
        <w:wordWrap w:val="off"/>
        <w:spacing w:lineRule="exact" w:line="431"/>
        <w:jc w:val="left"/>
      </w:pPr>
      <w:r>
        <w:rPr>
          <w:rFonts w:ascii="宋体" w:hAnsi="宋体" w:cs="宋体" w:eastAsia="宋体"/>
          <w:b w:val="true"/>
          <w:color w:val="000000"/>
          <w:sz w:val="24"/>
        </w:rPr>
        <w:t>一、货物内容</w:t>
      </w:r>
    </w:p>
    <w:p>
      <w:pPr>
        <w:spacing w:before="0" w:after="0" w:lineRule="exact" w:line="195"/>
      </w:pPr>
    </w:p>
    <w:tbl>
      <w:tblPr>
        <w:tblW w:w="0" w:type="auto"/>
        <w:tblBorders>
          <w:top w:val="single"/>
          <w:left w:val="single"/>
          <w:bottom w:val="single"/>
          <w:right w:val="single"/>
          <w:insideH w:val="single"/>
          <w:insideV w:val="single"/>
        </w:tblBorders>
      </w:tblPr>
      <w:tblPr>
        <w:tblW w:type="dxa" w:w="9600"/>
        <w:jc w:val="center"/>
        <w:tblBorders>
          <w:top w:val="nil"/>
          <w:left w:val="nil"/>
          <w:bottom w:val="nil"/>
          <w:right w:val="nil"/>
        </w:tblBorders>
      </w:tblPr>
      <w:tr>
        <w:trPr>
          <w:trHeight w:val="450"/>
        </w:trPr>
        <w:tc>
          <w:tcPr>
            <w:tcW w:type="dxa" w:w="525"/>
            <w:tcBorders>
              <w:top w:val="single" w:sz="12"/>
              <w:left w:val="single" w:sz="12"/>
              <w:bottom w:val="nil"/>
              <w:right w:val="nil"/>
            </w:tcBorders>
            <w:tcMar>
              <w:top w:w="20" w:type="dxa"/>
              <w:left w:w="20" w:type="dxa"/>
              <w:bottom w:w="20" w:type="dxa"/>
              <w:right w:w="20" w:type="dxa"/>
            </w:tcMar>
            <w:vAlign w:val="center"/>
          </w:tcPr>
          <w:p>
            <w:pPr>
              <w:wordWrap w:val="off"/>
              <w:spacing w:lineRule="exact" w:line="378"/>
              <w:jc w:val="center"/>
            </w:pPr>
            <w:r>
              <w:rPr>
                <w:rFonts w:ascii="宋体" w:hAnsi="宋体" w:cs="宋体" w:eastAsia="宋体"/>
                <w:color w:val="000000"/>
                <w:sz w:val="21"/>
              </w:rPr>
              <w:t>序号</w:t>
            </w:r>
          </w:p>
        </w:tc>
        <w:tc>
          <w:tcPr>
            <w:tcW w:type="dxa" w:w="1500"/>
            <w:hMerge w:val="restart"/>
            <w:tcBorders>
              <w:top w:val="single" w:sz="12"/>
              <w:left w:val="single" w:sz="6"/>
              <w:bottom w:val="nil"/>
              <w:right w:val="nil"/>
            </w:tcBorders>
            <w:tcMar>
              <w:top w:w="20" w:type="dxa"/>
              <w:left w:w="20" w:type="dxa"/>
              <w:bottom w:w="20" w:type="dxa"/>
              <w:right w:w="20" w:type="dxa"/>
            </w:tcMar>
            <w:vAlign w:val="center"/>
          </w:tcPr>
          <w:p>
            <w:pPr>
              <w:wordWrap w:val="off"/>
              <w:spacing w:lineRule="exact" w:line="378"/>
              <w:jc w:val="center"/>
            </w:pPr>
            <w:r>
              <w:rPr>
                <w:rFonts w:ascii="宋体" w:hAnsi="宋体" w:cs="宋体" w:eastAsia="宋体"/>
                <w:color w:val="000000"/>
                <w:sz w:val="21"/>
              </w:rPr>
              <w:t>产品名称</w:t>
            </w:r>
          </w:p>
        </w:tc>
        <w:tc>
          <w:tcPr>
            <w:hMerge w:val="continue"/>
            <w:tcBorders>
              <w:top w:val="single" w:sz="12"/>
              <w:left w:val="single" w:sz="6"/>
              <w:bottom w:val="nil"/>
              <w:right w:val="nil"/>
            </w:tcBorders>
          </w:tcPr>
          <w:p/>
        </w:tc>
        <w:tc>
          <w:tcPr>
            <w:tcW w:type="dxa" w:w="1305"/>
            <w:tcBorders>
              <w:top w:val="single" w:sz="12"/>
              <w:left w:val="single" w:sz="6"/>
              <w:bottom w:val="nil"/>
              <w:right w:val="nil"/>
            </w:tcBorders>
            <w:tcMar>
              <w:top w:w="20" w:type="dxa"/>
              <w:left w:w="20" w:type="dxa"/>
              <w:bottom w:w="20" w:type="dxa"/>
              <w:right w:w="20" w:type="dxa"/>
            </w:tcMar>
            <w:vAlign w:val="center"/>
          </w:tcPr>
          <w:p>
            <w:pPr>
              <w:wordWrap w:val="off"/>
              <w:spacing w:lineRule="exact" w:line="378"/>
              <w:jc w:val="center"/>
            </w:pPr>
            <w:r>
              <w:rPr>
                <w:rFonts w:ascii="宋体" w:hAnsi="宋体" w:cs="宋体" w:eastAsia="宋体"/>
                <w:color w:val="000000"/>
                <w:sz w:val="21"/>
              </w:rPr>
              <w:t>品牌</w:t>
            </w:r>
          </w:p>
        </w:tc>
        <w:tc>
          <w:tcPr>
            <w:tcW w:type="dxa" w:w="1245"/>
            <w:tcBorders>
              <w:top w:val="single" w:sz="12"/>
              <w:left w:val="single" w:sz="6"/>
              <w:bottom w:val="nil"/>
              <w:right w:val="nil"/>
            </w:tcBorders>
            <w:tcMar>
              <w:top w:w="20" w:type="dxa"/>
              <w:left w:w="20" w:type="dxa"/>
              <w:bottom w:w="20" w:type="dxa"/>
              <w:right w:w="20" w:type="dxa"/>
            </w:tcMar>
            <w:vAlign w:val="center"/>
          </w:tcPr>
          <w:p>
            <w:pPr>
              <w:wordWrap w:val="off"/>
              <w:spacing w:lineRule="exact" w:line="378"/>
              <w:jc w:val="center"/>
            </w:pPr>
            <w:r>
              <w:rPr>
                <w:rFonts w:ascii="宋体" w:hAnsi="宋体" w:cs="宋体" w:eastAsia="宋体"/>
                <w:color w:val="000000"/>
                <w:sz w:val="21"/>
              </w:rPr>
              <w:t>规格</w:t>
            </w:r>
          </w:p>
        </w:tc>
        <w:tc>
          <w:tcPr>
            <w:tcW w:type="dxa" w:w="1170"/>
            <w:tcBorders>
              <w:top w:val="single" w:sz="12"/>
              <w:left w:val="single" w:sz="6"/>
              <w:bottom w:val="nil"/>
              <w:right w:val="nil"/>
            </w:tcBorders>
            <w:tcMar>
              <w:top w:w="20" w:type="dxa"/>
              <w:left w:w="20" w:type="dxa"/>
              <w:bottom w:w="20" w:type="dxa"/>
              <w:right w:w="20" w:type="dxa"/>
            </w:tcMar>
            <w:vAlign w:val="center"/>
          </w:tcPr>
          <w:p>
            <w:pPr>
              <w:wordWrap w:val="off"/>
              <w:spacing w:lineRule="exact" w:line="378"/>
              <w:jc w:val="center"/>
            </w:pPr>
            <w:r>
              <w:rPr>
                <w:rFonts w:ascii="宋体" w:hAnsi="宋体" w:cs="宋体" w:eastAsia="宋体"/>
                <w:color w:val="000000"/>
                <w:sz w:val="21"/>
              </w:rPr>
              <w:t>型号</w:t>
            </w:r>
          </w:p>
        </w:tc>
        <w:tc>
          <w:tcPr>
            <w:tcW w:type="dxa" w:w="570"/>
            <w:tcBorders>
              <w:top w:val="single" w:sz="12"/>
              <w:left w:val="single" w:sz="6"/>
              <w:bottom w:val="nil"/>
              <w:right w:val="nil"/>
            </w:tcBorders>
            <w:tcMar>
              <w:top w:w="20" w:type="dxa"/>
              <w:left w:w="20" w:type="dxa"/>
              <w:bottom w:w="20" w:type="dxa"/>
              <w:right w:w="20" w:type="dxa"/>
            </w:tcMar>
            <w:vAlign w:val="center"/>
          </w:tcPr>
          <w:p>
            <w:pPr>
              <w:wordWrap w:val="off"/>
              <w:spacing w:lineRule="exact" w:line="378"/>
              <w:jc w:val="center"/>
            </w:pPr>
            <w:r>
              <w:rPr>
                <w:rFonts w:ascii="宋体" w:hAnsi="宋体" w:cs="宋体" w:eastAsia="宋体"/>
                <w:color w:val="000000"/>
                <w:sz w:val="21"/>
              </w:rPr>
              <w:t>单位</w:t>
            </w:r>
          </w:p>
        </w:tc>
        <w:tc>
          <w:tcPr>
            <w:tcW w:type="dxa" w:w="615"/>
            <w:tcBorders>
              <w:top w:val="single" w:sz="12"/>
              <w:left w:val="single" w:sz="6"/>
              <w:bottom w:val="nil"/>
              <w:right w:val="nil"/>
            </w:tcBorders>
            <w:tcMar>
              <w:top w:w="20" w:type="dxa"/>
              <w:left w:w="20" w:type="dxa"/>
              <w:bottom w:w="20" w:type="dxa"/>
              <w:right w:w="20" w:type="dxa"/>
            </w:tcMar>
            <w:vAlign w:val="center"/>
          </w:tcPr>
          <w:p>
            <w:pPr>
              <w:wordWrap w:val="off"/>
              <w:spacing w:lineRule="exact" w:line="378"/>
              <w:jc w:val="center"/>
            </w:pPr>
            <w:r>
              <w:rPr>
                <w:rFonts w:ascii="宋体" w:hAnsi="宋体" w:cs="宋体" w:eastAsia="宋体"/>
                <w:color w:val="000000"/>
                <w:sz w:val="21"/>
              </w:rPr>
              <w:t>数量</w:t>
            </w:r>
          </w:p>
        </w:tc>
        <w:tc>
          <w:tcPr>
            <w:tcW w:type="dxa" w:w="1155"/>
            <w:tcBorders>
              <w:top w:val="single" w:sz="12"/>
              <w:left w:val="single" w:sz="6"/>
              <w:bottom w:val="nil"/>
              <w:right w:val="nil"/>
            </w:tcBorders>
            <w:tcMar>
              <w:top w:w="20" w:type="dxa"/>
              <w:left w:w="20" w:type="dxa"/>
              <w:bottom w:w="20" w:type="dxa"/>
              <w:right w:w="20" w:type="dxa"/>
            </w:tcMar>
            <w:vAlign w:val="center"/>
          </w:tcPr>
          <w:p>
            <w:pPr>
              <w:wordWrap w:val="off"/>
              <w:spacing w:lineRule="exact" w:line="378"/>
              <w:jc w:val="center"/>
            </w:pPr>
            <w:r>
              <w:rPr>
                <w:rFonts w:ascii="宋体" w:hAnsi="宋体" w:cs="宋体" w:eastAsia="宋体"/>
                <w:color w:val="000000"/>
                <w:sz w:val="21"/>
              </w:rPr>
              <w:t>单价</w:t>
            </w:r>
          </w:p>
        </w:tc>
        <w:tc>
          <w:tcPr>
            <w:tcW w:type="dxa" w:w="1515"/>
            <w:tcBorders>
              <w:top w:val="single" w:sz="12"/>
              <w:left w:val="single" w:sz="6"/>
              <w:bottom w:val="nil"/>
              <w:right w:val="single" w:sz="12"/>
            </w:tcBorders>
            <w:tcMar>
              <w:top w:w="20" w:type="dxa"/>
              <w:left w:w="20" w:type="dxa"/>
              <w:bottom w:w="20" w:type="dxa"/>
              <w:right w:w="20" w:type="dxa"/>
            </w:tcMar>
            <w:vAlign w:val="center"/>
          </w:tcPr>
          <w:p>
            <w:pPr>
              <w:wordWrap w:val="off"/>
              <w:spacing w:lineRule="exact" w:line="378"/>
              <w:jc w:val="center"/>
            </w:pPr>
            <w:r>
              <w:rPr>
                <w:rFonts w:ascii="宋体" w:hAnsi="宋体" w:cs="宋体" w:eastAsia="宋体"/>
                <w:color w:val="000000"/>
                <w:sz w:val="21"/>
              </w:rPr>
              <w:t>总价</w:t>
            </w:r>
          </w:p>
        </w:tc>
      </w:tr>
      <w:tr>
        <w:trPr>
          <w:trHeight w:val="450"/>
        </w:trPr>
        <w:tc>
          <w:tcPr>
            <w:tcW w:type="dxa" w:w="525"/>
            <w:tcBorders>
              <w:top w:val="single" w:sz="6"/>
              <w:left w:val="single" w:sz="12"/>
              <w:bottom w:val="nil"/>
              <w:right w:val="nil"/>
            </w:tcBorders>
            <w:tcMar>
              <w:top w:w="20" w:type="dxa"/>
              <w:left w:w="20" w:type="dxa"/>
              <w:bottom w:w="20" w:type="dxa"/>
              <w:right w:w="20" w:type="dxa"/>
            </w:tcMar>
            <w:vAlign w:val="center"/>
          </w:tcPr>
          <w:p>
            <w:pPr>
              <w:wordWrap w:val="off"/>
              <w:spacing w:lineRule="exact" w:line="378"/>
              <w:jc w:val="center"/>
            </w:pPr>
            <w:r>
              <w:rPr>
                <w:rFonts w:ascii="宋体" w:hAnsi="宋体" w:cs="宋体" w:eastAsia="宋体"/>
                <w:color w:val="000000"/>
                <w:sz w:val="21"/>
              </w:rPr>
              <w:t>1</w:t>
            </w:r>
          </w:p>
        </w:tc>
        <w:tc>
          <w:tcPr>
            <w:tcW w:type="dxa" w:w="1500"/>
            <w:hMerge w:val="restart"/>
            <w:tcBorders>
              <w:top w:val="single" w:sz="6"/>
              <w:left w:val="single" w:sz="6"/>
              <w:bottom w:val="nil"/>
              <w:right w:val="nil"/>
            </w:tcBorders>
            <w:tcMar>
              <w:top w:w="20" w:type="dxa"/>
              <w:left w:w="20" w:type="dxa"/>
              <w:bottom w:w="20" w:type="dxa"/>
              <w:right w:w="20" w:type="dxa"/>
            </w:tcMar>
            <w:vAlign w:val="center"/>
          </w:tcPr>
          <w:p>
            <w:pPr>
              <w:wordWrap w:val="off"/>
              <w:spacing w:lineRule="exact" w:line="378"/>
              <w:jc w:val="left"/>
            </w:pPr>
            <w:r>
              <w:rPr>
                <w:rFonts w:ascii="宋体" w:hAnsi="宋体" w:cs="宋体" w:eastAsia="宋体"/>
                <w:color w:val="000000"/>
                <w:sz w:val="21"/>
              </w:rPr>
              <w:t>WEB资源发布系统</w:t>
            </w:r>
          </w:p>
        </w:tc>
        <w:tc>
          <w:tcPr>
            <w:hMerge w:val="continue"/>
            <w:tcBorders>
              <w:top w:val="single" w:sz="6"/>
              <w:left w:val="single" w:sz="6"/>
              <w:bottom w:val="nil"/>
              <w:right w:val="nil"/>
            </w:tcBorders>
          </w:tcPr>
          <w:p/>
        </w:tc>
        <w:tc>
          <w:tcPr>
            <w:tcW w:type="dxa" w:w="1305"/>
            <w:tcBorders>
              <w:top w:val="single" w:sz="6"/>
              <w:left w:val="single" w:sz="6"/>
              <w:bottom w:val="nil"/>
              <w:right w:val="nil"/>
            </w:tcBorders>
            <w:tcMar>
              <w:top w:w="20" w:type="dxa"/>
              <w:left w:w="20" w:type="dxa"/>
              <w:bottom w:w="20" w:type="dxa"/>
              <w:right w:w="20" w:type="dxa"/>
            </w:tcMar>
            <w:vAlign w:val="center"/>
          </w:tcPr>
          <w:p/>
        </w:tc>
        <w:tc>
          <w:tcPr>
            <w:tcW w:type="dxa" w:w="1245"/>
            <w:tcBorders>
              <w:top w:val="single" w:sz="6"/>
              <w:left w:val="single" w:sz="6"/>
              <w:bottom w:val="nil"/>
              <w:right w:val="nil"/>
            </w:tcBorders>
            <w:tcMar>
              <w:top w:w="20" w:type="dxa"/>
              <w:left w:w="20" w:type="dxa"/>
              <w:bottom w:w="20" w:type="dxa"/>
              <w:right w:w="20" w:type="dxa"/>
            </w:tcMar>
            <w:vAlign w:val="center"/>
          </w:tcPr>
          <w:p/>
        </w:tc>
        <w:tc>
          <w:tcPr>
            <w:tcW w:type="dxa" w:w="1170"/>
            <w:tcBorders>
              <w:top w:val="single" w:sz="6"/>
              <w:left w:val="single" w:sz="6"/>
              <w:bottom w:val="nil"/>
              <w:right w:val="nil"/>
            </w:tcBorders>
            <w:tcMar>
              <w:top w:w="20" w:type="dxa"/>
              <w:left w:w="20" w:type="dxa"/>
              <w:bottom w:w="20" w:type="dxa"/>
              <w:right w:w="20" w:type="dxa"/>
            </w:tcMar>
            <w:vAlign w:val="center"/>
          </w:tcPr>
          <w:p/>
        </w:tc>
        <w:tc>
          <w:tcPr>
            <w:tcW w:type="dxa" w:w="57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台</w:t>
            </w:r>
          </w:p>
        </w:tc>
        <w:tc>
          <w:tcPr>
            <w:tcW w:type="dxa" w:w="61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2</w:t>
            </w:r>
          </w:p>
        </w:tc>
        <w:tc>
          <w:tcPr>
            <w:tcW w:type="dxa" w:w="1155"/>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1515"/>
            <w:tcBorders>
              <w:top w:val="single" w:sz="6"/>
              <w:left w:val="single" w:sz="6"/>
              <w:bottom w:val="nil"/>
              <w:right w:val="single" w:sz="12"/>
            </w:tcBorders>
            <w:tcMar>
              <w:top w:w="20" w:type="dxa"/>
              <w:left w:w="20" w:type="dxa"/>
              <w:bottom w:w="20" w:type="dxa"/>
              <w:right w:w="20" w:type="dxa"/>
            </w:tcMar>
            <w:vAlign w:val="center"/>
          </w:tcPr>
          <w:p>
            <w:pPr>
              <w:wordWrap w:val="off"/>
            </w:pPr>
          </w:p>
        </w:tc>
      </w:tr>
      <w:tr>
        <w:trPr>
          <w:trHeight w:val="450"/>
        </w:trPr>
        <w:tc>
          <w:tcPr>
            <w:tcW w:type="dxa" w:w="2025"/>
            <w:hMerge w:val="restart"/>
            <w:tcBorders>
              <w:top w:val="single" w:sz="6"/>
              <w:left w:val="single" w:sz="12"/>
              <w:bottom w:val="nil"/>
              <w:right w:val="nil"/>
            </w:tcBorders>
            <w:tcMar>
              <w:top w:w="20" w:type="dxa"/>
              <w:left w:w="20" w:type="dxa"/>
              <w:bottom w:w="20" w:type="dxa"/>
              <w:right w:w="20" w:type="dxa"/>
            </w:tcMar>
            <w:vAlign w:val="center"/>
          </w:tcPr>
          <w:p>
            <w:pPr>
              <w:wordWrap w:val="off"/>
              <w:spacing w:lineRule="exact" w:line="378"/>
              <w:jc w:val="center"/>
            </w:pPr>
            <w:r>
              <w:rPr>
                <w:rFonts w:ascii="宋体" w:hAnsi="宋体" w:cs="宋体" w:eastAsia="宋体"/>
                <w:color w:val="000000"/>
                <w:sz w:val="21"/>
              </w:rPr>
              <w:t>合计</w:t>
            </w:r>
          </w:p>
        </w:tc>
        <w:tc>
          <w:tcPr>
            <w:hMerge w:val="continue"/>
            <w:tcBorders>
              <w:top w:val="single" w:sz="6"/>
              <w:left w:val="single" w:sz="12"/>
              <w:bottom w:val="nil"/>
              <w:right w:val="nil"/>
            </w:tcBorders>
          </w:tcPr>
          <w:p/>
        </w:tc>
        <w:tc>
          <w:tcPr>
            <w:hMerge w:val="continue"/>
            <w:tcBorders>
              <w:top w:val="single" w:sz="6"/>
              <w:left w:val="single" w:sz="12"/>
              <w:bottom w:val="nil"/>
              <w:right w:val="nil"/>
            </w:tcBorders>
          </w:tcPr>
          <w:p/>
        </w:tc>
        <w:tc>
          <w:tcPr>
            <w:tcW w:type="dxa" w:w="7575"/>
            <w:hMerge w:val="restart"/>
            <w:tcBorders>
              <w:top w:val="single" w:sz="6"/>
              <w:left w:val="single" w:sz="6"/>
              <w:bottom w:val="nil"/>
              <w:right w:val="single" w:sz="12"/>
            </w:tcBorders>
            <w:tcMar>
              <w:top w:w="20" w:type="dxa"/>
              <w:left w:w="20" w:type="dxa"/>
              <w:bottom w:w="20" w:type="dxa"/>
              <w:right w:w="20" w:type="dxa"/>
            </w:tcMar>
            <w:vAlign w:val="center"/>
          </w:tcPr>
          <w:p>
            <w:pPr>
              <w:wordWrap w:val="off"/>
              <w:spacing w:lineRule="exact" w:line="378"/>
              <w:jc w:val="left"/>
            </w:pPr>
            <w:r>
              <w:rPr>
                <w:rFonts w:ascii="宋体" w:hAnsi="宋体" w:cs="宋体" w:eastAsia="宋体"/>
                <w:color w:val="000000"/>
                <w:sz w:val="21"/>
              </w:rPr>
              <w:t>人民币：大写</w:t>
            </w:r>
            <w:r>
              <w:rPr>
                <w:rFonts w:ascii="宋体" w:hAnsi="宋体" w:cs="宋体" w:eastAsia="宋体"/>
                <w:color w:val="000000"/>
                <w:sz w:val="21"/>
              </w:rPr>
              <w:t xml:space="preserve"> （￥ </w:t>
            </w:r>
            <w:r>
              <w:rPr>
                <w:rFonts w:ascii="宋体" w:hAnsi="宋体" w:cs="宋体" w:eastAsia="宋体"/>
                <w:color w:val="000000"/>
                <w:sz w:val="21"/>
                <w:u w:val="single"/>
              </w:rPr>
              <w:t>　　　　　</w:t>
            </w:r>
            <w:r>
              <w:rPr>
                <w:rFonts w:ascii="宋体" w:hAnsi="宋体" w:cs="宋体" w:eastAsia="宋体"/>
                <w:color w:val="000000"/>
                <w:sz w:val="21"/>
              </w:rPr>
              <w:t>元）</w:t>
            </w:r>
          </w:p>
        </w:tc>
        <w:tc>
          <w:tcPr>
            <w:hMerge w:val="continue"/>
            <w:tcBorders>
              <w:top w:val="single" w:sz="6"/>
              <w:left w:val="single" w:sz="6"/>
              <w:bottom w:val="nil"/>
              <w:right w:val="single" w:sz="12"/>
            </w:tcBorders>
          </w:tcPr>
          <w:p/>
        </w:tc>
        <w:tc>
          <w:tcPr>
            <w:hMerge w:val="continue"/>
            <w:tcBorders>
              <w:top w:val="single" w:sz="6"/>
              <w:left w:val="single" w:sz="6"/>
              <w:bottom w:val="nil"/>
              <w:right w:val="single" w:sz="12"/>
            </w:tcBorders>
          </w:tcPr>
          <w:p/>
        </w:tc>
        <w:tc>
          <w:tcPr>
            <w:hMerge w:val="continue"/>
            <w:tcBorders>
              <w:top w:val="single" w:sz="6"/>
              <w:left w:val="single" w:sz="6"/>
              <w:bottom w:val="nil"/>
              <w:right w:val="single" w:sz="12"/>
            </w:tcBorders>
          </w:tcPr>
          <w:p/>
        </w:tc>
        <w:tc>
          <w:tcPr>
            <w:hMerge w:val="continue"/>
            <w:tcBorders>
              <w:top w:val="single" w:sz="6"/>
              <w:left w:val="single" w:sz="6"/>
              <w:bottom w:val="nil"/>
              <w:right w:val="single" w:sz="12"/>
            </w:tcBorders>
          </w:tcPr>
          <w:p/>
        </w:tc>
        <w:tc>
          <w:tcPr>
            <w:hMerge w:val="continue"/>
            <w:tcBorders>
              <w:top w:val="single" w:sz="6"/>
              <w:left w:val="single" w:sz="6"/>
              <w:bottom w:val="nil"/>
              <w:right w:val="single" w:sz="12"/>
            </w:tcBorders>
          </w:tcPr>
          <w:p/>
        </w:tc>
        <w:tc>
          <w:tcPr>
            <w:hMerge w:val="continue"/>
            <w:tcBorders>
              <w:top w:val="single" w:sz="6"/>
              <w:left w:val="single" w:sz="6"/>
              <w:bottom w:val="nil"/>
              <w:right w:val="single" w:sz="12"/>
            </w:tcBorders>
          </w:tcPr>
          <w:p/>
        </w:tc>
      </w:tr>
      <w:tr>
        <w:trPr>
          <w:trHeight w:val="450"/>
        </w:trPr>
        <w:tc>
          <w:tcPr>
            <w:tcW w:type="dxa" w:w="525"/>
            <w:tcBorders>
              <w:top w:val="single" w:sz="6"/>
              <w:left w:val="single" w:sz="12"/>
              <w:bottom w:val="single" w:sz="12"/>
              <w:right w:val="nil"/>
            </w:tcBorders>
            <w:tcMar>
              <w:top w:w="20" w:type="dxa"/>
              <w:left w:w="20" w:type="dxa"/>
              <w:bottom w:w="20" w:type="dxa"/>
              <w:right w:w="20" w:type="dxa"/>
            </w:tcMar>
            <w:vAlign w:val="center"/>
          </w:tcPr>
          <w:p>
            <w:pPr>
              <w:wordWrap w:val="off"/>
              <w:spacing w:lineRule="exact" w:line="378"/>
              <w:jc w:val="center"/>
            </w:pPr>
            <w:r>
              <w:rPr>
                <w:rFonts w:ascii="宋体" w:hAnsi="宋体" w:cs="宋体" w:eastAsia="宋体"/>
                <w:color w:val="000000"/>
                <w:sz w:val="21"/>
              </w:rPr>
              <w:t>备注</w:t>
            </w:r>
          </w:p>
        </w:tc>
        <w:tc>
          <w:tcPr>
            <w:tcW w:type="dxa" w:w="9075"/>
            <w:hMerge w:val="restart"/>
            <w:tcBorders>
              <w:top w:val="single" w:sz="6"/>
              <w:left w:val="single" w:sz="6"/>
              <w:bottom w:val="single" w:sz="12"/>
              <w:right w:val="single" w:sz="12"/>
            </w:tcBorders>
            <w:tcMar>
              <w:top w:w="20" w:type="dxa"/>
              <w:left w:w="20" w:type="dxa"/>
              <w:bottom w:w="20" w:type="dxa"/>
              <w:right w:w="20" w:type="dxa"/>
            </w:tcMar>
            <w:vAlign w:val="top"/>
          </w:tcPr>
          <w:p>
            <w:pPr>
              <w:wordWrap w:val="off"/>
            </w:pPr>
          </w:p>
        </w:tc>
        <w:tc>
          <w:tcPr>
            <w:hMerge w:val="continue"/>
            <w:tcBorders>
              <w:top w:val="single" w:sz="6"/>
              <w:left w:val="single" w:sz="6"/>
              <w:bottom w:val="single" w:sz="12"/>
              <w:right w:val="single" w:sz="12"/>
            </w:tcBorders>
          </w:tcPr>
          <w:p/>
        </w:tc>
        <w:tc>
          <w:tcPr>
            <w:hMerge w:val="continue"/>
            <w:tcBorders>
              <w:top w:val="single" w:sz="6"/>
              <w:left w:val="single" w:sz="6"/>
              <w:bottom w:val="single" w:sz="12"/>
              <w:right w:val="single" w:sz="12"/>
            </w:tcBorders>
          </w:tcPr>
          <w:p/>
        </w:tc>
        <w:tc>
          <w:tcPr>
            <w:hMerge w:val="continue"/>
            <w:tcBorders>
              <w:top w:val="single" w:sz="6"/>
              <w:left w:val="single" w:sz="6"/>
              <w:bottom w:val="single" w:sz="12"/>
              <w:right w:val="single" w:sz="12"/>
            </w:tcBorders>
          </w:tcPr>
          <w:p/>
        </w:tc>
        <w:tc>
          <w:tcPr>
            <w:hMerge w:val="continue"/>
            <w:tcBorders>
              <w:top w:val="single" w:sz="6"/>
              <w:left w:val="single" w:sz="6"/>
              <w:bottom w:val="single" w:sz="12"/>
              <w:right w:val="single" w:sz="12"/>
            </w:tcBorders>
          </w:tcPr>
          <w:p/>
        </w:tc>
        <w:tc>
          <w:tcPr>
            <w:hMerge w:val="continue"/>
            <w:tcBorders>
              <w:top w:val="single" w:sz="6"/>
              <w:left w:val="single" w:sz="6"/>
              <w:bottom w:val="single" w:sz="12"/>
              <w:right w:val="single" w:sz="12"/>
            </w:tcBorders>
          </w:tcPr>
          <w:p/>
        </w:tc>
        <w:tc>
          <w:tcPr>
            <w:hMerge w:val="continue"/>
            <w:tcBorders>
              <w:top w:val="single" w:sz="6"/>
              <w:left w:val="single" w:sz="6"/>
              <w:bottom w:val="single" w:sz="12"/>
              <w:right w:val="single" w:sz="12"/>
            </w:tcBorders>
          </w:tcPr>
          <w:p/>
        </w:tc>
        <w:tc>
          <w:tcPr>
            <w:hMerge w:val="continue"/>
            <w:tcBorders>
              <w:top w:val="single" w:sz="6"/>
              <w:left w:val="single" w:sz="6"/>
              <w:bottom w:val="single" w:sz="12"/>
              <w:right w:val="single" w:sz="12"/>
            </w:tcBorders>
          </w:tcPr>
          <w:p/>
        </w:tc>
        <w:tc>
          <w:tcPr>
            <w:hMerge w:val="continue"/>
            <w:tcBorders>
              <w:top w:val="single" w:sz="6"/>
              <w:left w:val="single" w:sz="6"/>
              <w:bottom w:val="single" w:sz="12"/>
              <w:right w:val="single" w:sz="12"/>
            </w:tcBorders>
          </w:tcPr>
          <w:p/>
        </w:tc>
      </w:tr>
    </w:tbl>
    <w:p>
      <w:pPr>
        <w:spacing w:before="0" w:after="0" w:lineRule="exact" w:line="195"/>
      </w:pPr>
    </w:p>
    <w:p>
      <w:pPr>
        <w:wordWrap w:val="off"/>
        <w:spacing w:lineRule="exact" w:line="378"/>
        <w:ind w:firstLineChars="200"/>
        <w:jc w:val="left"/>
      </w:pPr>
      <w:r>
        <w:rPr>
          <w:rFonts w:ascii="宋体" w:hAnsi="宋体" w:cs="宋体" w:eastAsia="宋体"/>
          <w:color w:val="000000"/>
          <w:sz w:val="21"/>
        </w:rPr>
        <w:t>乙方须向甲方提供如下配套服务：商品的包装、运输、装卸、运杂、保险、安装、售后服务等。</w:t>
      </w:r>
    </w:p>
    <w:p>
      <w:pPr>
        <w:wordWrap w:val="off"/>
        <w:spacing w:lineRule="exact" w:line="431"/>
        <w:jc w:val="left"/>
      </w:pPr>
      <w:r>
        <w:rPr>
          <w:rFonts w:ascii="宋体" w:hAnsi="宋体" w:cs="宋体" w:eastAsia="宋体"/>
          <w:b w:val="true"/>
          <w:color w:val="000000"/>
          <w:sz w:val="24"/>
        </w:rPr>
        <w:t>二、下列文件为本合同不可分割部分</w:t>
      </w:r>
    </w:p>
    <w:p>
      <w:pPr>
        <w:wordWrap w:val="off"/>
        <w:spacing w:lineRule="exact" w:line="378"/>
        <w:ind w:firstLineChars="200"/>
        <w:jc w:val="left"/>
      </w:pPr>
      <w:r>
        <w:rPr>
          <w:rFonts w:ascii="宋体" w:hAnsi="宋体" w:cs="宋体" w:eastAsia="宋体"/>
          <w:color w:val="000000"/>
          <w:sz w:val="21"/>
        </w:rPr>
        <w:t/>
      </w:r>
      <w:r>
        <w:rPr>
          <w:rFonts w:ascii="宋体" w:hAnsi="宋体" w:cs="宋体" w:eastAsia="宋体"/>
          <w:color w:val="000000"/>
          <w:sz w:val="21"/>
        </w:rPr>
        <w:t>竞争性磋商文件</w:t>
      </w:r>
      <w:r>
        <w:rPr>
          <w:rFonts w:ascii="宋体" w:hAnsi="宋体" w:cs="宋体" w:eastAsia="宋体"/>
          <w:color w:val="000000"/>
          <w:sz w:val="21"/>
        </w:rPr>
        <w:t>及其附件；</w:t>
      </w:r>
      <w:r>
        <w:rPr>
          <w:rFonts w:ascii="宋体" w:hAnsi="宋体" w:cs="宋体" w:eastAsia="宋体"/>
          <w:color w:val="000000"/>
          <w:sz w:val="21"/>
        </w:rPr>
        <w:t>成交</w:t>
      </w:r>
      <w:r>
        <w:rPr>
          <w:rFonts w:ascii="宋体" w:hAnsi="宋体" w:cs="宋体" w:eastAsia="宋体"/>
          <w:color w:val="000000"/>
          <w:sz w:val="21"/>
        </w:rPr>
        <w:t>通知书；乙方</w:t>
      </w:r>
      <w:r>
        <w:rPr>
          <w:rFonts w:ascii="宋体" w:hAnsi="宋体" w:cs="宋体" w:eastAsia="宋体"/>
          <w:color w:val="000000"/>
          <w:sz w:val="21"/>
        </w:rPr>
        <w:t>成交</w:t>
      </w:r>
      <w:r>
        <w:rPr>
          <w:rFonts w:ascii="宋体" w:hAnsi="宋体" w:cs="宋体" w:eastAsia="宋体"/>
          <w:color w:val="000000"/>
          <w:sz w:val="21"/>
        </w:rPr>
        <w:t>的</w:t>
      </w:r>
      <w:r>
        <w:rPr>
          <w:rFonts w:ascii="宋体" w:hAnsi="宋体" w:cs="宋体" w:eastAsia="宋体"/>
          <w:color w:val="000000"/>
          <w:sz w:val="21"/>
        </w:rPr>
        <w:t>响应</w:t>
      </w:r>
      <w:r>
        <w:rPr>
          <w:rFonts w:ascii="宋体" w:hAnsi="宋体" w:cs="宋体" w:eastAsia="宋体"/>
          <w:color w:val="000000"/>
          <w:sz w:val="21"/>
        </w:rPr>
        <w:t>文件；乙方在采购过程中所作的其他承诺、声明、书面澄清等。</w:t>
      </w:r>
    </w:p>
    <w:p>
      <w:pPr>
        <w:wordWrap w:val="off"/>
        <w:spacing w:lineRule="exact" w:line="431"/>
        <w:jc w:val="left"/>
      </w:pPr>
      <w:r>
        <w:rPr>
          <w:rFonts w:ascii="宋体" w:hAnsi="宋体" w:cs="宋体" w:eastAsia="宋体"/>
          <w:b w:val="true"/>
          <w:color w:val="000000"/>
          <w:sz w:val="24"/>
        </w:rPr>
        <w:t>三、合同价格与支付办法</w:t>
      </w:r>
    </w:p>
    <w:p>
      <w:pPr>
        <w:wordWrap w:val="off"/>
        <w:spacing w:lineRule="exact" w:line="378"/>
        <w:ind w:firstLineChars="200"/>
        <w:jc w:val="left"/>
      </w:pPr>
      <w:r>
        <w:rPr>
          <w:rFonts w:ascii="宋体" w:hAnsi="宋体" w:cs="宋体" w:eastAsia="宋体"/>
          <w:color w:val="000000"/>
          <w:sz w:val="21"/>
        </w:rPr>
        <w:t>1．合同价格为此次成交价格，合同</w:t>
      </w:r>
      <w:r>
        <w:rPr>
          <w:rFonts w:ascii="宋体" w:hAnsi="宋体" w:cs="宋体" w:eastAsia="宋体"/>
          <w:color w:val="000000"/>
          <w:sz w:val="21"/>
        </w:rPr>
        <w:t>金额</w:t>
      </w:r>
      <w:r>
        <w:rPr>
          <w:rFonts w:ascii="宋体" w:hAnsi="宋体" w:cs="宋体" w:eastAsia="宋体"/>
          <w:color w:val="000000"/>
          <w:sz w:val="21"/>
        </w:rPr>
        <w:t>为</w:t>
      </w:r>
      <w:r>
        <w:rPr>
          <w:rFonts w:ascii="宋体" w:hAnsi="宋体" w:cs="宋体" w:eastAsia="宋体"/>
          <w:color w:val="000000"/>
          <w:sz w:val="21"/>
        </w:rPr>
        <w:t>　　　　</w:t>
      </w:r>
      <w:r>
        <w:rPr>
          <w:rFonts w:ascii="宋体" w:hAnsi="宋体" w:cs="宋体" w:eastAsia="宋体"/>
          <w:color w:val="000000"/>
          <w:sz w:val="21"/>
        </w:rPr>
        <w:t>元</w:t>
      </w:r>
      <w:r>
        <w:rPr>
          <w:rFonts w:ascii="宋体" w:hAnsi="宋体" w:cs="宋体" w:eastAsia="宋体"/>
          <w:color w:val="000000"/>
          <w:sz w:val="21"/>
        </w:rPr>
        <w:t>，包括</w:t>
      </w:r>
      <w:r>
        <w:rPr>
          <w:rFonts w:ascii="宋体" w:hAnsi="宋体" w:cs="宋体" w:eastAsia="宋体"/>
          <w:color w:val="000000"/>
          <w:sz w:val="21"/>
          <w:u w:val="single"/>
        </w:rPr>
        <w:t>该商品的主件和附配件及其运输、运杂保险、装卸、备品、备件、安装、调试、人员培训、售后服务、税金</w:t>
      </w:r>
      <w:r>
        <w:rPr>
          <w:rFonts w:ascii="宋体" w:hAnsi="宋体" w:cs="宋体" w:eastAsia="宋体"/>
          <w:color w:val="000000"/>
          <w:sz w:val="21"/>
        </w:rPr>
        <w:t>等一切费用。</w:t>
      </w:r>
    </w:p>
    <w:p>
      <w:pPr>
        <w:wordWrap w:val="off"/>
        <w:spacing w:lineRule="exact" w:line="378"/>
        <w:ind w:firstLineChars="200"/>
        <w:jc w:val="left"/>
      </w:pPr>
      <w:r>
        <w:rPr>
          <w:rFonts w:ascii="宋体" w:hAnsi="宋体" w:cs="宋体" w:eastAsia="宋体"/>
          <w:color w:val="000000"/>
          <w:sz w:val="21"/>
        </w:rPr>
        <w:t>2. 付款方式：</w:t>
      </w:r>
    </w:p>
    <w:p>
      <w:pPr>
        <w:wordWrap w:val="off"/>
        <w:spacing w:lineRule="exact" w:line="378"/>
        <w:ind w:firstLineChars="200"/>
        <w:jc w:val="left"/>
      </w:pPr>
      <w:r>
        <w:rPr>
          <w:rFonts w:ascii="宋体" w:hAnsi="宋体" w:cs="宋体" w:eastAsia="宋体"/>
          <w:color w:val="000000"/>
          <w:sz w:val="21"/>
        </w:rPr>
        <w:t/>
      </w:r>
      <w:r>
        <w:rPr>
          <w:rFonts w:ascii="宋体" w:hAnsi="宋体" w:cs="宋体" w:eastAsia="宋体"/>
          <w:color w:val="000000"/>
          <w:sz w:val="21"/>
        </w:rPr>
        <w:t>合同生效后，甲方向乙方支付合同总价</w:t>
      </w:r>
      <w:r>
        <w:rPr>
          <w:rFonts w:ascii="宋体" w:hAnsi="宋体" w:cs="宋体" w:eastAsia="宋体"/>
          <w:color w:val="000000"/>
          <w:sz w:val="21"/>
          <w:u w:val="single"/>
        </w:rPr>
        <w:t>30</w:t>
      </w:r>
      <w:r>
        <w:rPr>
          <w:rFonts w:ascii="宋体" w:hAnsi="宋体" w:cs="宋体" w:eastAsia="宋体"/>
          <w:color w:val="000000"/>
          <w:sz w:val="21"/>
        </w:rPr>
        <w:t>％的预付款，乙方在合同规定时间内将此批合同标的物送到苏州科技大学指定地点，并安装调试，甲方验收合格后向乙方支付剩余</w:t>
      </w:r>
      <w:r>
        <w:rPr>
          <w:rFonts w:ascii="宋体" w:hAnsi="宋体" w:cs="宋体" w:eastAsia="宋体"/>
          <w:color w:val="000000"/>
          <w:sz w:val="21"/>
          <w:u w:val="single"/>
        </w:rPr>
        <w:t>70</w:t>
      </w:r>
      <w:r>
        <w:rPr>
          <w:rFonts w:ascii="宋体" w:hAnsi="宋体" w:cs="宋体" w:eastAsia="宋体"/>
          <w:color w:val="000000"/>
          <w:sz w:val="21"/>
        </w:rPr>
        <w:t>％的货款。</w:t>
      </w:r>
    </w:p>
    <w:p>
      <w:pPr>
        <w:wordWrap w:val="off"/>
        <w:spacing w:lineRule="exact" w:line="378"/>
        <w:ind w:firstLineChars="200"/>
        <w:jc w:val="left"/>
      </w:pPr>
      <w:r>
        <w:rPr>
          <w:rFonts w:ascii="宋体" w:hAnsi="宋体" w:cs="宋体" w:eastAsia="宋体"/>
          <w:color w:val="000000"/>
          <w:sz w:val="21"/>
        </w:rPr>
        <w:t>3. ①要求投标商应能开13%增值税专用发票（有发票联、抵扣联）</w:t>
      </w:r>
    </w:p>
    <w:p>
      <w:pPr>
        <w:wordWrap w:val="off"/>
        <w:spacing w:before="0" w:after="0" w:lineRule="exact" w:line="378"/>
        <w:ind w:firstLineChars="350"/>
        <w:jc w:val="left"/>
      </w:pPr>
      <w:r>
        <w:rPr>
          <w:rFonts w:ascii="宋体" w:hAnsi="宋体" w:cs="宋体" w:eastAsia="宋体"/>
          <w:color w:val="000000"/>
          <w:sz w:val="21"/>
        </w:rPr>
        <w:t>②开票信息如下：</w:t>
      </w:r>
    </w:p>
    <w:p>
      <w:pPr>
        <w:wordWrap w:val="off"/>
        <w:spacing w:before="0" w:after="0" w:lineRule="exact" w:line="378"/>
        <w:ind w:firstLineChars="350"/>
        <w:jc w:val="left"/>
      </w:pPr>
      <w:r>
        <w:rPr>
          <w:rFonts w:ascii="宋体" w:hAnsi="宋体" w:cs="宋体" w:eastAsia="宋体"/>
          <w:color w:val="000000"/>
          <w:sz w:val="21"/>
        </w:rPr>
        <w:t>名称：</w:t>
      </w:r>
      <w:r>
        <w:rPr>
          <w:rFonts w:ascii="宋体" w:hAnsi="宋体" w:cs="宋体" w:eastAsia="宋体"/>
          <w:color w:val="000000"/>
          <w:sz w:val="21"/>
        </w:rPr>
        <w:t>苏州科技大学</w:t>
      </w:r>
    </w:p>
    <w:p>
      <w:pPr>
        <w:wordWrap w:val="off"/>
        <w:spacing w:before="0" w:after="0" w:lineRule="exact" w:line="378"/>
        <w:ind w:firstLineChars="350"/>
        <w:jc w:val="left"/>
      </w:pPr>
      <w:r>
        <w:rPr>
          <w:rFonts w:ascii="宋体" w:hAnsi="宋体" w:cs="宋体" w:eastAsia="宋体"/>
          <w:color w:val="000000"/>
          <w:sz w:val="21"/>
        </w:rPr>
        <w:t>识别号：</w:t>
      </w:r>
      <w:r>
        <w:rPr>
          <w:rFonts w:ascii="宋体" w:hAnsi="宋体" w:cs="宋体" w:eastAsia="宋体"/>
          <w:color w:val="000000"/>
          <w:sz w:val="21"/>
        </w:rPr>
        <w:t>12320000466011617U</w:t>
      </w:r>
    </w:p>
    <w:p>
      <w:pPr>
        <w:wordWrap w:val="off"/>
        <w:spacing w:before="0" w:after="0" w:lineRule="exact" w:line="378"/>
        <w:ind w:firstLineChars="350"/>
        <w:jc w:val="left"/>
      </w:pPr>
      <w:r>
        <w:rPr>
          <w:rFonts w:ascii="宋体" w:hAnsi="宋体" w:cs="宋体" w:eastAsia="宋体"/>
          <w:color w:val="000000"/>
          <w:sz w:val="21"/>
        </w:rPr>
        <w:t xml:space="preserve">地址: </w:t>
      </w:r>
      <w:r>
        <w:rPr>
          <w:rFonts w:ascii="宋体" w:hAnsi="宋体" w:cs="宋体" w:eastAsia="宋体"/>
          <w:color w:val="000000"/>
          <w:sz w:val="21"/>
        </w:rPr>
        <w:t>江苏省苏州市虎丘区学府路99号</w:t>
      </w:r>
    </w:p>
    <w:p>
      <w:pPr>
        <w:wordWrap w:val="off"/>
        <w:spacing w:before="0" w:after="0" w:lineRule="exact" w:line="378"/>
        <w:ind w:firstLineChars="350"/>
        <w:jc w:val="left"/>
      </w:pPr>
      <w:r>
        <w:rPr>
          <w:rFonts w:ascii="宋体" w:hAnsi="宋体" w:cs="宋体" w:eastAsia="宋体"/>
          <w:color w:val="000000"/>
          <w:sz w:val="21"/>
        </w:rPr>
        <w:t>电话：</w:t>
      </w:r>
      <w:r>
        <w:rPr>
          <w:rFonts w:ascii="宋体" w:hAnsi="宋体" w:cs="宋体" w:eastAsia="宋体"/>
          <w:color w:val="000000"/>
          <w:sz w:val="21"/>
        </w:rPr>
        <w:t>0512-69379071</w:t>
      </w:r>
    </w:p>
    <w:p>
      <w:pPr>
        <w:wordWrap w:val="off"/>
        <w:spacing w:before="0" w:after="0" w:lineRule="exact" w:line="378"/>
        <w:ind w:firstLineChars="350"/>
        <w:jc w:val="left"/>
      </w:pPr>
      <w:r>
        <w:rPr>
          <w:rFonts w:ascii="宋体" w:hAnsi="宋体" w:cs="宋体" w:eastAsia="宋体"/>
          <w:color w:val="000000"/>
          <w:sz w:val="21"/>
        </w:rPr>
        <w:t>开户行：</w:t>
      </w:r>
      <w:r>
        <w:rPr>
          <w:rFonts w:ascii="宋体" w:hAnsi="宋体" w:cs="宋体" w:eastAsia="宋体"/>
          <w:color w:val="000000"/>
          <w:sz w:val="21"/>
        </w:rPr>
        <w:t>工行苏州市新区支行</w:t>
      </w:r>
    </w:p>
    <w:p>
      <w:pPr>
        <w:wordWrap w:val="off"/>
        <w:spacing w:before="0" w:after="0" w:lineRule="exact" w:line="378"/>
        <w:ind w:firstLineChars="350"/>
        <w:jc w:val="left"/>
      </w:pPr>
      <w:r>
        <w:rPr>
          <w:rFonts w:ascii="宋体" w:hAnsi="宋体" w:cs="宋体" w:eastAsia="宋体"/>
          <w:color w:val="000000"/>
          <w:sz w:val="21"/>
        </w:rPr>
        <w:t>账号：</w:t>
      </w:r>
      <w:r>
        <w:rPr>
          <w:rFonts w:ascii="宋体" w:hAnsi="宋体" w:cs="宋体" w:eastAsia="宋体"/>
          <w:color w:val="000000"/>
          <w:sz w:val="21"/>
        </w:rPr>
        <w:t>1102021109002045964</w:t>
      </w:r>
    </w:p>
    <w:p>
      <w:pPr>
        <w:wordWrap w:val="off"/>
        <w:spacing w:lineRule="exact" w:line="431"/>
        <w:jc w:val="left"/>
      </w:pPr>
      <w:r>
        <w:rPr>
          <w:rFonts w:ascii="宋体" w:hAnsi="宋体" w:cs="宋体" w:eastAsia="宋体"/>
          <w:b w:val="true"/>
          <w:color w:val="000000"/>
          <w:sz w:val="24"/>
        </w:rPr>
        <w:t>四、履约保证金</w:t>
      </w:r>
    </w:p>
    <w:p>
      <w:pPr>
        <w:wordWrap w:val="off"/>
        <w:spacing w:lineRule="exact" w:line="378"/>
        <w:ind w:firstLineChars="200"/>
        <w:jc w:val="left"/>
      </w:pPr>
      <w:r>
        <w:rPr>
          <w:rFonts w:ascii="宋体" w:hAnsi="宋体" w:cs="宋体" w:eastAsia="宋体"/>
          <w:color w:val="000000"/>
          <w:sz w:val="21"/>
        </w:rPr>
        <w:t/>
      </w:r>
      <w:r>
        <w:rPr>
          <w:rFonts w:ascii="宋体" w:hAnsi="宋体" w:cs="宋体" w:eastAsia="宋体"/>
          <w:color w:val="000000"/>
          <w:sz w:val="21"/>
        </w:rPr>
        <w:t>本项目不需要缴纳履约保证金。</w:t>
      </w:r>
    </w:p>
    <w:p>
      <w:pPr>
        <w:wordWrap w:val="off"/>
        <w:spacing w:lineRule="exact" w:line="431"/>
        <w:jc w:val="left"/>
      </w:pPr>
      <w:r>
        <w:rPr>
          <w:rFonts w:ascii="宋体" w:hAnsi="宋体" w:cs="宋体" w:eastAsia="宋体"/>
          <w:b w:val="true"/>
          <w:color w:val="000000"/>
          <w:sz w:val="24"/>
        </w:rPr>
        <w:t>五、质量与验收</w:t>
      </w:r>
    </w:p>
    <w:p>
      <w:pPr>
        <w:wordWrap w:val="off"/>
        <w:spacing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 乙方应严格按照标书的有关规定提供合格设备；交货时须提供该产品的合格证明。</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 货物验收只能在全部货物到达安装地点后才可进行，验收时甲乙双方及招标人派员一起当场开箱验货，如发现货物短缺、质次、损坏、产地和规格不符等问题，应作详细记录，由乙方立即无条件为需方调换或补齐，同时由乙方承担因此而产生的一切后果。</w:t>
      </w:r>
    </w:p>
    <w:p>
      <w:pPr>
        <w:wordWrap w:val="off"/>
        <w:spacing w:lineRule="exact" w:line="431"/>
        <w:jc w:val="left"/>
      </w:pPr>
      <w:r>
        <w:rPr>
          <w:rFonts w:ascii="宋体" w:hAnsi="宋体" w:cs="宋体" w:eastAsia="宋体"/>
          <w:b w:val="true"/>
          <w:color w:val="000000"/>
          <w:sz w:val="24"/>
        </w:rPr>
        <w:t>六、验收标准</w:t>
      </w:r>
    </w:p>
    <w:p>
      <w:pPr>
        <w:wordWrap w:val="off"/>
        <w:spacing w:lineRule="exact" w:line="378"/>
        <w:ind w:firstLineChars="200"/>
        <w:jc w:val="left"/>
      </w:pPr>
      <w:r>
        <w:rPr>
          <w:rFonts w:ascii="宋体" w:hAnsi="宋体" w:cs="宋体" w:eastAsia="宋体"/>
          <w:color w:val="000000"/>
          <w:sz w:val="21"/>
        </w:rPr>
        <w:t>乙方提供的设备必须符合我国最新颁布的与之相关的技术规范与标准，同时必须满足谈判书中所列全部规格、型号、具体配置、技术条件及功能要求和乙方承诺的其它指标。</w:t>
      </w:r>
    </w:p>
    <w:p>
      <w:pPr>
        <w:wordWrap w:val="off"/>
        <w:spacing w:lineRule="exact" w:line="431"/>
        <w:jc w:val="left"/>
      </w:pPr>
      <w:r>
        <w:rPr>
          <w:rFonts w:ascii="宋体" w:hAnsi="宋体" w:cs="宋体" w:eastAsia="宋体"/>
          <w:b w:val="true"/>
          <w:color w:val="000000"/>
          <w:sz w:val="24"/>
        </w:rPr>
        <w:t>七、交货条件</w:t>
      </w:r>
    </w:p>
    <w:p>
      <w:pPr>
        <w:wordWrap w:val="off"/>
        <w:spacing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 交货日期：</w:t>
      </w:r>
      <w:r>
        <w:rPr>
          <w:rFonts w:ascii="宋体" w:hAnsi="宋体" w:cs="宋体" w:eastAsia="宋体"/>
          <w:color w:val="000000"/>
          <w:sz w:val="21"/>
        </w:rPr>
        <w:t>合同签订后30天内到货（具体时间以甲方通知为准）并按甲方要求安装调试完毕。</w:t>
      </w:r>
      <w:r>
        <w:rPr>
          <w:rFonts w:ascii="宋体" w:hAnsi="宋体" w:cs="宋体" w:eastAsia="宋体"/>
          <w:color w:val="000000"/>
          <w:sz w:val="21"/>
        </w:rPr>
        <w:t>并按甲方要求安装调试完毕。</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 产品的外观、包装、运输应按国家规定或部颁标准执行，如因乙方包装不当以及其它原因造成损坏或丢失，应由乙方负责修复或补缺。</w:t>
      </w:r>
    </w:p>
    <w:p>
      <w:pPr>
        <w:wordWrap w:val="off"/>
        <w:spacing w:lineRule="exact" w:line="431"/>
        <w:jc w:val="left"/>
      </w:pPr>
      <w:r>
        <w:rPr>
          <w:rFonts w:ascii="宋体" w:hAnsi="宋体" w:cs="宋体" w:eastAsia="宋体"/>
          <w:b w:val="true"/>
          <w:color w:val="000000"/>
          <w:sz w:val="24"/>
        </w:rPr>
        <w:t>八、运输及到货地点</w:t>
      </w:r>
    </w:p>
    <w:p>
      <w:pPr>
        <w:wordWrap w:val="off"/>
        <w:spacing w:lineRule="exact" w:line="378"/>
        <w:ind w:firstLineChars="200"/>
        <w:jc w:val="left"/>
      </w:pPr>
      <w:r>
        <w:rPr>
          <w:rFonts w:ascii="宋体" w:hAnsi="宋体" w:cs="宋体" w:eastAsia="宋体"/>
          <w:color w:val="000000"/>
          <w:sz w:val="21"/>
        </w:rPr>
        <w:t/>
      </w:r>
      <w:r>
        <w:rPr>
          <w:rFonts w:ascii="宋体" w:hAnsi="宋体" w:cs="宋体" w:eastAsia="宋体"/>
          <w:color w:val="000000"/>
          <w:sz w:val="21"/>
        </w:rPr>
        <w:t>甲方指定地点</w:t>
      </w:r>
      <w:r>
        <w:rPr>
          <w:rFonts w:ascii="宋体" w:hAnsi="宋体" w:cs="宋体" w:eastAsia="宋体"/>
          <w:color w:val="000000"/>
          <w:sz w:val="21"/>
        </w:rPr>
        <w:t>。</w:t>
      </w:r>
    </w:p>
    <w:p>
      <w:pPr>
        <w:wordWrap w:val="off"/>
        <w:spacing w:lineRule="exact" w:line="431"/>
        <w:jc w:val="left"/>
      </w:pPr>
      <w:r>
        <w:rPr>
          <w:rFonts w:ascii="宋体" w:hAnsi="宋体" w:cs="宋体" w:eastAsia="宋体"/>
          <w:b w:val="true"/>
          <w:color w:val="000000"/>
          <w:sz w:val="24"/>
        </w:rPr>
        <w:t>九、安装、调试及售后服务</w:t>
      </w:r>
    </w:p>
    <w:p>
      <w:pPr>
        <w:wordWrap w:val="off"/>
        <w:spacing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 按国家、厂商、行业标准孰优执行，除特别说明外，不低于采购要求，质保期由设备安装调试合格后开始计算。</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 免费质保期</w:t>
      </w:r>
      <w:r>
        <w:rPr>
          <w:rFonts w:ascii="宋体" w:hAnsi="宋体" w:cs="宋体" w:eastAsia="宋体"/>
          <w:color w:val="000000"/>
          <w:sz w:val="21"/>
          <w:u w:val="single"/>
        </w:rPr>
        <w:t>36</w:t>
      </w:r>
      <w:r>
        <w:rPr>
          <w:rFonts w:ascii="宋体" w:hAnsi="宋体" w:cs="宋体" w:eastAsia="宋体"/>
          <w:color w:val="000000"/>
          <w:sz w:val="21"/>
        </w:rPr>
        <w:t>个月。</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3. 乙方应以优良的服务态度，服务响应时间要求在2小时内；无法远程解决的问题，技术人员须在24小时内到达现场，并提供原厂产品免费培训服务。</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4. 其它按乙方</w:t>
      </w:r>
      <w:r>
        <w:rPr>
          <w:rFonts w:ascii="宋体" w:hAnsi="宋体" w:cs="宋体" w:eastAsia="宋体"/>
          <w:color w:val="000000"/>
          <w:sz w:val="21"/>
        </w:rPr>
        <w:t>磋商响应</w:t>
      </w:r>
      <w:r>
        <w:rPr>
          <w:rFonts w:ascii="宋体" w:hAnsi="宋体" w:cs="宋体" w:eastAsia="宋体"/>
          <w:color w:val="000000"/>
          <w:sz w:val="21"/>
        </w:rPr>
        <w:t>文件中的承诺执行。</w:t>
      </w:r>
    </w:p>
    <w:p>
      <w:pPr>
        <w:wordWrap w:val="off"/>
        <w:spacing w:lineRule="exact" w:line="431"/>
        <w:jc w:val="left"/>
      </w:pPr>
      <w:r>
        <w:rPr>
          <w:rFonts w:ascii="宋体" w:hAnsi="宋体" w:cs="宋体" w:eastAsia="宋体"/>
          <w:b w:val="true"/>
          <w:color w:val="000000"/>
          <w:sz w:val="24"/>
        </w:rPr>
        <w:t>十、违约责任</w:t>
      </w:r>
    </w:p>
    <w:p>
      <w:pPr>
        <w:wordWrap w:val="off"/>
        <w:spacing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 如乙方延期交货，除不可抗拒的因素外，乙应向需方就延期交货支付违约金，具体按总价款每日0.04%支付，另外，若乙方延期交货超过二周甲方有权随时终止合同。</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 甲方延期付款时（有正当拒付理由者除外）应向乙方支付逾期付款违约金，按逾期总额每日0.04%的标准计算。</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3. 由于甲方的原因要求延期交货，甲方应按规定承付货款，并承担乙方提供的代为保管费（有关仓储协定另议）。</w:t>
      </w:r>
    </w:p>
    <w:p>
      <w:pPr>
        <w:wordWrap w:val="off"/>
        <w:spacing w:lineRule="exact" w:line="431"/>
        <w:jc w:val="left"/>
      </w:pPr>
      <w:r>
        <w:rPr>
          <w:rFonts w:ascii="宋体" w:hAnsi="宋体" w:cs="宋体" w:eastAsia="宋体"/>
          <w:b w:val="true"/>
          <w:color w:val="000000"/>
          <w:sz w:val="24"/>
        </w:rPr>
        <w:t>十一、合同生效及其它</w:t>
      </w:r>
    </w:p>
    <w:p>
      <w:pPr>
        <w:wordWrap w:val="off"/>
        <w:spacing w:lineRule="exact" w:line="378"/>
        <w:ind w:firstLineChars="200"/>
        <w:jc w:val="left"/>
      </w:pPr>
      <w:r>
        <w:rPr>
          <w:rFonts w:ascii="宋体" w:hAnsi="宋体" w:cs="宋体" w:eastAsia="宋体"/>
          <w:color w:val="000000"/>
          <w:sz w:val="21"/>
        </w:rPr>
        <w:t>1.</w:t>
      </w:r>
      <w:r>
        <w:rPr>
          <w:rFonts w:ascii="宋体" w:hAnsi="宋体" w:cs="宋体" w:eastAsia="宋体"/>
          <w:color w:val="000000"/>
          <w:sz w:val="21"/>
        </w:rPr>
        <w:tab/>
      </w:r>
      <w:r>
        <w:rPr>
          <w:rFonts w:ascii="宋体" w:hAnsi="宋体" w:cs="宋体" w:eastAsia="宋体"/>
          <w:color w:val="000000"/>
          <w:sz w:val="21"/>
        </w:rPr>
        <w:t>合同经甲乙双方代表签字并加盖单位公章（或合同章）后即生效。</w:t>
      </w:r>
    </w:p>
    <w:p>
      <w:pPr>
        <w:wordWrap w:val="off"/>
        <w:spacing w:before="0" w:after="0" w:lineRule="exact" w:line="378"/>
        <w:ind w:firstLineChars="200"/>
        <w:jc w:val="left"/>
      </w:pPr>
      <w:r>
        <w:rPr>
          <w:rFonts w:ascii="宋体" w:hAnsi="宋体" w:cs="宋体" w:eastAsia="宋体"/>
          <w:color w:val="000000"/>
          <w:sz w:val="21"/>
        </w:rPr>
        <w:t>2.</w:t>
      </w:r>
      <w:r>
        <w:rPr>
          <w:rFonts w:ascii="宋体" w:hAnsi="宋体" w:cs="宋体" w:eastAsia="宋体"/>
          <w:color w:val="000000"/>
          <w:sz w:val="21"/>
        </w:rPr>
        <w:tab/>
      </w:r>
      <w:r>
        <w:rPr>
          <w:rFonts w:ascii="宋体" w:hAnsi="宋体" w:cs="宋体" w:eastAsia="宋体"/>
          <w:color w:val="000000"/>
          <w:sz w:val="21"/>
        </w:rPr>
        <w:t>合同签订后甲乙双方即直接产生权利与义务的关系，合同执行过程中出现的问题应按照《中华人民共和国民法典》的规定办理，在合同履行过程中，双方如有争议，经协商无效，任何一方可向招标人所在地人民法院提起诉讼。</w:t>
      </w:r>
    </w:p>
    <w:p>
      <w:pPr>
        <w:spacing w:before="0" w:after="0" w:lineRule="exact" w:line="195"/>
      </w:pPr>
    </w:p>
    <w:tbl>
      <w:tblPr>
        <w:tblW w:w="0" w:type="auto"/>
        <w:tblBorders>
          <w:top w:val="single"/>
          <w:left w:val="single"/>
          <w:bottom w:val="single"/>
          <w:right w:val="single"/>
          <w:insideH w:val="single"/>
          <w:insideV w:val="single"/>
        </w:tblBorders>
      </w:tblPr>
      <w:tblPr>
        <w:tblW w:type="dxa" w:w="9600"/>
        <w:jc w:val="center"/>
        <w:tblBorders>
          <w:top w:val="nil"/>
          <w:left w:val="nil"/>
          <w:bottom w:val="nil"/>
          <w:right w:val="nil"/>
        </w:tblBorders>
      </w:tblPr>
      <w:tr>
        <w:trPr>
          <w:trHeight w:val="330"/>
        </w:trPr>
        <w:tc>
          <w:tcPr>
            <w:tcW w:type="dxa" w:w="4800"/>
            <w:tcBorders>
              <w:top w:val="single" w:sz="6"/>
              <w:left w:val="single" w:sz="6"/>
              <w:bottom w:val="nil"/>
              <w:right w:val="nil"/>
            </w:tcBorders>
            <w:tcMar>
              <w:top w:w="20" w:type="dxa"/>
              <w:left w:w="20" w:type="dxa"/>
              <w:bottom w:w="20" w:type="dxa"/>
              <w:right w:w="20" w:type="dxa"/>
            </w:tcMar>
            <w:vAlign w:val="center"/>
          </w:tcPr>
          <w:p>
            <w:pPr>
              <w:wordWrap w:val="off"/>
              <w:spacing w:lineRule="exact" w:line="378"/>
              <w:jc w:val="left"/>
            </w:pPr>
            <w:r>
              <w:rPr>
                <w:rFonts w:ascii="宋体" w:hAnsi="宋体" w:cs="宋体" w:eastAsia="宋体"/>
                <w:color w:val="000000"/>
                <w:sz w:val="21"/>
              </w:rPr>
              <w:t>甲方：</w:t>
            </w:r>
            <w:r>
              <w:rPr>
                <w:rFonts w:ascii="宋体" w:hAnsi="宋体" w:cs="宋体" w:eastAsia="宋体"/>
                <w:color w:val="000000"/>
                <w:sz w:val="21"/>
              </w:rPr>
              <w:t>苏州科技大学</w:t>
            </w:r>
          </w:p>
        </w:tc>
        <w:tc>
          <w:tcPr>
            <w:tcW w:type="dxa" w:w="4800"/>
            <w:tcBorders>
              <w:top w:val="single" w:sz="6"/>
              <w:left w:val="single" w:sz="6"/>
              <w:bottom w:val="nil"/>
              <w:right w:val="single" w:sz="6"/>
            </w:tcBorders>
            <w:tcMar>
              <w:top w:w="20" w:type="dxa"/>
              <w:left w:w="20" w:type="dxa"/>
              <w:bottom w:w="20" w:type="dxa"/>
              <w:right w:w="20" w:type="dxa"/>
            </w:tcMar>
            <w:vAlign w:val="center"/>
          </w:tcPr>
          <w:p>
            <w:pPr>
              <w:wordWrap w:val="off"/>
              <w:spacing w:lineRule="exact" w:line="378"/>
              <w:jc w:val="left"/>
            </w:pPr>
            <w:r>
              <w:rPr>
                <w:rFonts w:ascii="宋体" w:hAnsi="宋体" w:cs="宋体" w:eastAsia="宋体"/>
                <w:color w:val="000000"/>
                <w:sz w:val="21"/>
              </w:rPr>
              <w:t>乙方:</w:t>
            </w:r>
          </w:p>
        </w:tc>
      </w:tr>
      <w:tr>
        <w:trPr>
          <w:trHeight w:val="555" w:hRule="exact"/>
        </w:trPr>
        <w:tc>
          <w:tcPr>
            <w:tcW w:type="dxa" w:w="4800"/>
            <w:tcBorders>
              <w:top w:val="nil"/>
              <w:left w:val="single" w:sz="6"/>
              <w:bottom w:val="nil"/>
              <w:right w:val="nil"/>
            </w:tcBorders>
            <w:tcMar>
              <w:top w:w="20" w:type="dxa"/>
              <w:left w:w="20" w:type="dxa"/>
              <w:bottom w:w="20" w:type="dxa"/>
              <w:right w:w="20" w:type="dxa"/>
            </w:tcMar>
            <w:vAlign w:val="center"/>
          </w:tcPr>
          <w:p>
            <w:pPr>
              <w:wordWrap w:val="off"/>
            </w:pPr>
          </w:p>
        </w:tc>
        <w:tc>
          <w:tcPr>
            <w:tcW w:type="dxa" w:w="4800"/>
            <w:tcBorders>
              <w:top w:val="nil"/>
              <w:left w:val="single" w:sz="6"/>
              <w:bottom w:val="nil"/>
              <w:right w:val="single" w:sz="6"/>
            </w:tcBorders>
            <w:tcMar>
              <w:top w:w="20" w:type="dxa"/>
              <w:left w:w="20" w:type="dxa"/>
              <w:bottom w:w="20" w:type="dxa"/>
              <w:right w:w="20" w:type="dxa"/>
            </w:tcMar>
            <w:vAlign w:val="center"/>
          </w:tcPr>
          <w:p>
            <w:pPr>
              <w:wordWrap w:val="off"/>
            </w:pPr>
          </w:p>
        </w:tc>
      </w:tr>
      <w:tr>
        <w:trPr>
          <w:trHeight w:val="330"/>
        </w:trPr>
        <w:tc>
          <w:tcPr>
            <w:tcW w:type="dxa" w:w="4800"/>
            <w:tcBorders>
              <w:top w:val="nil"/>
              <w:left w:val="single" w:sz="6"/>
              <w:bottom w:val="nil"/>
              <w:right w:val="nil"/>
            </w:tcBorders>
            <w:tcMar>
              <w:top w:w="20" w:type="dxa"/>
              <w:left w:w="20" w:type="dxa"/>
              <w:bottom w:w="20" w:type="dxa"/>
              <w:right w:w="20" w:type="dxa"/>
            </w:tcMar>
            <w:vAlign w:val="center"/>
          </w:tcPr>
          <w:p>
            <w:pPr>
              <w:wordWrap w:val="off"/>
              <w:spacing w:lineRule="exact" w:line="378"/>
              <w:ind w:firstLineChars="1200"/>
              <w:jc w:val="left"/>
            </w:pPr>
            <w:r>
              <w:rPr>
                <w:rFonts w:ascii="宋体" w:hAnsi="宋体" w:cs="宋体" w:eastAsia="宋体"/>
                <w:color w:val="000000"/>
                <w:sz w:val="21"/>
              </w:rPr>
              <w:t/>
            </w:r>
            <w:r>
              <w:rPr>
                <w:rFonts w:ascii="宋体" w:hAnsi="宋体" w:cs="宋体" w:eastAsia="宋体"/>
                <w:color w:val="000000"/>
                <w:sz w:val="21"/>
              </w:rPr>
              <w:t>　　年　月　日</w:t>
            </w:r>
          </w:p>
        </w:tc>
        <w:tc>
          <w:tcPr>
            <w:tcW w:type="dxa" w:w="4800"/>
            <w:tcBorders>
              <w:top w:val="nil"/>
              <w:left w:val="single" w:sz="6"/>
              <w:bottom w:val="nil"/>
              <w:right w:val="single" w:sz="6"/>
            </w:tcBorders>
            <w:tcMar>
              <w:top w:w="20" w:type="dxa"/>
              <w:left w:w="20" w:type="dxa"/>
              <w:bottom w:w="20" w:type="dxa"/>
              <w:right w:w="20" w:type="dxa"/>
            </w:tcMar>
            <w:vAlign w:val="center"/>
          </w:tcPr>
          <w:p>
            <w:pPr>
              <w:wordWrap w:val="off"/>
              <w:spacing w:lineRule="exact" w:line="378"/>
              <w:ind w:firstLineChars="1200"/>
              <w:jc w:val="left"/>
            </w:pPr>
            <w:r>
              <w:rPr>
                <w:rFonts w:ascii="宋体" w:hAnsi="宋体" w:cs="宋体" w:eastAsia="宋体"/>
                <w:color w:val="000000"/>
                <w:sz w:val="21"/>
              </w:rPr>
              <w:t/>
            </w:r>
            <w:r>
              <w:rPr>
                <w:rFonts w:ascii="宋体" w:hAnsi="宋体" w:cs="宋体" w:eastAsia="宋体"/>
                <w:color w:val="000000"/>
                <w:sz w:val="21"/>
              </w:rPr>
              <w:t>　　年　月　日</w:t>
            </w:r>
          </w:p>
        </w:tc>
      </w:tr>
      <w:tr>
        <w:trPr>
          <w:trHeight w:val="390"/>
        </w:trPr>
        <w:tc>
          <w:tcPr>
            <w:tcW w:type="dxa" w:w="4800"/>
            <w:tcBorders>
              <w:top w:val="single" w:sz="6"/>
              <w:left w:val="single" w:sz="6"/>
              <w:bottom w:val="nil"/>
              <w:right w:val="nil"/>
            </w:tcBorders>
            <w:tcMar>
              <w:top w:w="20" w:type="dxa"/>
              <w:left w:w="20" w:type="dxa"/>
              <w:bottom w:w="20" w:type="dxa"/>
              <w:right w:w="20" w:type="dxa"/>
            </w:tcMar>
            <w:vAlign w:val="center"/>
          </w:tcPr>
          <w:p>
            <w:pPr>
              <w:wordWrap w:val="off"/>
              <w:spacing w:lineRule="exact" w:line="378"/>
              <w:jc w:val="left"/>
            </w:pPr>
            <w:r>
              <w:rPr>
                <w:rFonts w:ascii="宋体" w:hAnsi="宋体" w:cs="宋体" w:eastAsia="宋体"/>
                <w:color w:val="000000"/>
                <w:sz w:val="21"/>
              </w:rPr>
              <w:t>单位地址：</w:t>
            </w:r>
            <w:r>
              <w:rPr>
                <w:rFonts w:ascii="宋体" w:hAnsi="宋体" w:cs="宋体" w:eastAsia="宋体"/>
                <w:color w:val="000000"/>
                <w:sz w:val="21"/>
              </w:rPr>
              <w:t>江苏省苏州市虎丘区学府路99号</w:t>
            </w:r>
          </w:p>
        </w:tc>
        <w:tc>
          <w:tcPr>
            <w:tcW w:type="dxa" w:w="4800"/>
            <w:tcBorders>
              <w:top w:val="single" w:sz="6"/>
              <w:left w:val="single" w:sz="6"/>
              <w:bottom w:val="nil"/>
              <w:right w:val="single" w:sz="6"/>
            </w:tcBorders>
            <w:tcMar>
              <w:top w:w="20" w:type="dxa"/>
              <w:left w:w="20" w:type="dxa"/>
              <w:bottom w:w="20" w:type="dxa"/>
              <w:right w:w="20" w:type="dxa"/>
            </w:tcMar>
            <w:vAlign w:val="center"/>
          </w:tcPr>
          <w:p>
            <w:pPr>
              <w:wordWrap w:val="off"/>
              <w:spacing w:lineRule="exact" w:line="378"/>
              <w:jc w:val="left"/>
            </w:pPr>
            <w:r>
              <w:rPr>
                <w:rFonts w:ascii="宋体" w:hAnsi="宋体" w:cs="宋体" w:eastAsia="宋体"/>
                <w:color w:val="000000"/>
                <w:sz w:val="21"/>
              </w:rPr>
              <w:t>单位地址：</w:t>
            </w:r>
            <w:r>
              <w:rPr>
                <w:rFonts w:ascii="宋体" w:hAnsi="宋体" w:cs="宋体" w:eastAsia="宋体"/>
                <w:color w:val="000000"/>
                <w:sz w:val="21"/>
              </w:rPr>
              <w:t>　　　　　　　　　　　</w:t>
            </w:r>
          </w:p>
        </w:tc>
      </w:tr>
      <w:tr>
        <w:trPr>
          <w:trHeight w:val="330"/>
        </w:trPr>
        <w:tc>
          <w:tcPr>
            <w:tcW w:type="dxa" w:w="4800"/>
            <w:tcBorders>
              <w:top w:val="single" w:sz="6"/>
              <w:left w:val="single" w:sz="6"/>
              <w:bottom w:val="nil"/>
              <w:right w:val="nil"/>
            </w:tcBorders>
            <w:tcMar>
              <w:top w:w="20" w:type="dxa"/>
              <w:left w:w="20" w:type="dxa"/>
              <w:bottom w:w="20" w:type="dxa"/>
              <w:right w:w="20" w:type="dxa"/>
            </w:tcMar>
            <w:vAlign w:val="center"/>
          </w:tcPr>
          <w:p>
            <w:pPr>
              <w:wordWrap w:val="off"/>
              <w:spacing w:lineRule="exact" w:line="378"/>
              <w:jc w:val="left"/>
            </w:pPr>
            <w:r>
              <w:rPr>
                <w:rFonts w:ascii="宋体" w:hAnsi="宋体" w:cs="宋体" w:eastAsia="宋体"/>
                <w:color w:val="000000"/>
                <w:sz w:val="21"/>
              </w:rPr>
              <w:t>法定代表人（或委托代理人）</w:t>
            </w:r>
          </w:p>
        </w:tc>
        <w:tc>
          <w:tcPr>
            <w:tcW w:type="dxa" w:w="4800"/>
            <w:tcBorders>
              <w:top w:val="single" w:sz="6"/>
              <w:left w:val="single" w:sz="6"/>
              <w:bottom w:val="nil"/>
              <w:right w:val="single" w:sz="6"/>
            </w:tcBorders>
            <w:tcMar>
              <w:top w:w="20" w:type="dxa"/>
              <w:left w:w="20" w:type="dxa"/>
              <w:bottom w:w="20" w:type="dxa"/>
              <w:right w:w="20" w:type="dxa"/>
            </w:tcMar>
            <w:vAlign w:val="center"/>
          </w:tcPr>
          <w:p>
            <w:pPr>
              <w:wordWrap w:val="off"/>
              <w:spacing w:lineRule="exact" w:line="378"/>
              <w:jc w:val="left"/>
            </w:pPr>
            <w:r>
              <w:rPr>
                <w:rFonts w:ascii="宋体" w:hAnsi="宋体" w:cs="宋体" w:eastAsia="宋体"/>
                <w:color w:val="000000"/>
                <w:sz w:val="21"/>
              </w:rPr>
              <w:t>法定代表人（或委托代理人）</w:t>
            </w:r>
          </w:p>
        </w:tc>
      </w:tr>
      <w:tr>
        <w:trPr>
          <w:trHeight w:val="330"/>
        </w:trPr>
        <w:tc>
          <w:tcPr>
            <w:tcW w:type="dxa" w:w="4800"/>
            <w:tcBorders>
              <w:top w:val="nil"/>
              <w:left w:val="single" w:sz="6"/>
              <w:bottom w:val="nil"/>
              <w:right w:val="nil"/>
            </w:tcBorders>
            <w:tcMar>
              <w:top w:w="20" w:type="dxa"/>
              <w:left w:w="20" w:type="dxa"/>
              <w:bottom w:w="20" w:type="dxa"/>
              <w:right w:w="20" w:type="dxa"/>
            </w:tcMar>
            <w:vAlign w:val="center"/>
          </w:tcPr>
          <w:p>
            <w:pPr>
              <w:wordWrap w:val="off"/>
              <w:spacing w:lineRule="exact" w:line="378"/>
              <w:jc w:val="left"/>
            </w:pPr>
            <w:r>
              <w:rPr>
                <w:rFonts w:ascii="宋体" w:hAnsi="宋体" w:cs="宋体" w:eastAsia="宋体"/>
                <w:color w:val="000000"/>
                <w:sz w:val="21"/>
              </w:rPr>
              <w:t>（签字）：</w:t>
            </w:r>
          </w:p>
        </w:tc>
        <w:tc>
          <w:tcPr>
            <w:tcW w:type="dxa" w:w="4800"/>
            <w:tcBorders>
              <w:top w:val="nil"/>
              <w:left w:val="single" w:sz="6"/>
              <w:bottom w:val="nil"/>
              <w:right w:val="single" w:sz="6"/>
            </w:tcBorders>
            <w:tcMar>
              <w:top w:w="20" w:type="dxa"/>
              <w:left w:w="20" w:type="dxa"/>
              <w:bottom w:w="20" w:type="dxa"/>
              <w:right w:w="20" w:type="dxa"/>
            </w:tcMar>
            <w:vAlign w:val="center"/>
          </w:tcPr>
          <w:p>
            <w:pPr>
              <w:wordWrap w:val="off"/>
              <w:spacing w:lineRule="exact" w:line="378"/>
              <w:jc w:val="left"/>
            </w:pPr>
            <w:r>
              <w:rPr>
                <w:rFonts w:ascii="宋体" w:hAnsi="宋体" w:cs="宋体" w:eastAsia="宋体"/>
                <w:color w:val="000000"/>
                <w:sz w:val="21"/>
              </w:rPr>
              <w:t>（签字）：</w:t>
            </w:r>
          </w:p>
        </w:tc>
      </w:tr>
      <w:tr>
        <w:trPr>
          <w:trHeight w:val="390"/>
        </w:trPr>
        <w:tc>
          <w:tcPr>
            <w:tcW w:type="dxa" w:w="4800"/>
            <w:tcBorders>
              <w:top w:val="single" w:sz="6"/>
              <w:left w:val="single" w:sz="6"/>
              <w:bottom w:val="nil"/>
              <w:right w:val="nil"/>
            </w:tcBorders>
            <w:tcMar>
              <w:top w:w="20" w:type="dxa"/>
              <w:left w:w="20" w:type="dxa"/>
              <w:bottom w:w="20" w:type="dxa"/>
              <w:right w:w="20" w:type="dxa"/>
            </w:tcMar>
            <w:vAlign w:val="center"/>
          </w:tcPr>
          <w:p>
            <w:pPr>
              <w:wordWrap w:val="off"/>
              <w:spacing w:lineRule="exact" w:line="378"/>
              <w:jc w:val="left"/>
            </w:pPr>
            <w:r>
              <w:rPr>
                <w:rFonts w:ascii="宋体" w:hAnsi="宋体" w:cs="宋体" w:eastAsia="宋体"/>
                <w:color w:val="000000"/>
                <w:sz w:val="21"/>
              </w:rPr>
              <w:t>电话：</w:t>
            </w:r>
            <w:r>
              <w:rPr>
                <w:rFonts w:ascii="宋体" w:hAnsi="宋体" w:cs="宋体" w:eastAsia="宋体"/>
                <w:color w:val="000000"/>
                <w:sz w:val="21"/>
              </w:rPr>
              <w:t>0512-69379071</w:t>
            </w:r>
          </w:p>
        </w:tc>
        <w:tc>
          <w:tcPr>
            <w:tcW w:type="dxa" w:w="4800"/>
            <w:tcBorders>
              <w:top w:val="single" w:sz="6"/>
              <w:left w:val="single" w:sz="6"/>
              <w:bottom w:val="nil"/>
              <w:right w:val="single" w:sz="6"/>
            </w:tcBorders>
            <w:tcMar>
              <w:top w:w="20" w:type="dxa"/>
              <w:left w:w="20" w:type="dxa"/>
              <w:bottom w:w="20" w:type="dxa"/>
              <w:right w:w="20" w:type="dxa"/>
            </w:tcMar>
            <w:vAlign w:val="center"/>
          </w:tcPr>
          <w:p>
            <w:pPr>
              <w:wordWrap w:val="off"/>
              <w:spacing w:lineRule="exact" w:line="378"/>
              <w:jc w:val="left"/>
            </w:pPr>
            <w:r>
              <w:rPr>
                <w:rFonts w:ascii="宋体" w:hAnsi="宋体" w:cs="宋体" w:eastAsia="宋体"/>
                <w:color w:val="000000"/>
                <w:sz w:val="21"/>
              </w:rPr>
              <w:t>电话：</w:t>
            </w:r>
            <w:r>
              <w:rPr>
                <w:rFonts w:ascii="宋体" w:hAnsi="宋体" w:cs="宋体" w:eastAsia="宋体"/>
                <w:color w:val="000000"/>
                <w:sz w:val="21"/>
              </w:rPr>
              <w:t>　　　　　　</w:t>
            </w:r>
          </w:p>
        </w:tc>
      </w:tr>
      <w:tr>
        <w:trPr>
          <w:trHeight w:val="390"/>
        </w:trPr>
        <w:tc>
          <w:tcPr>
            <w:tcW w:type="dxa" w:w="4800"/>
            <w:tcBorders>
              <w:top w:val="single" w:sz="6"/>
              <w:left w:val="single" w:sz="6"/>
              <w:bottom w:val="nil"/>
              <w:right w:val="nil"/>
            </w:tcBorders>
            <w:tcMar>
              <w:top w:w="20" w:type="dxa"/>
              <w:left w:w="20" w:type="dxa"/>
              <w:bottom w:w="20" w:type="dxa"/>
              <w:right w:w="20" w:type="dxa"/>
            </w:tcMar>
            <w:vAlign w:val="center"/>
          </w:tcPr>
          <w:p>
            <w:pPr>
              <w:wordWrap w:val="off"/>
              <w:spacing w:lineRule="exact" w:line="378"/>
              <w:jc w:val="left"/>
            </w:pPr>
            <w:r>
              <w:rPr>
                <w:rFonts w:ascii="宋体" w:hAnsi="宋体" w:cs="宋体" w:eastAsia="宋体"/>
                <w:color w:val="000000"/>
                <w:sz w:val="21"/>
              </w:rPr>
              <w:t>开户银行：</w:t>
            </w:r>
            <w:r>
              <w:rPr>
                <w:rFonts w:ascii="宋体" w:hAnsi="宋体" w:cs="宋体" w:eastAsia="宋体"/>
                <w:color w:val="000000"/>
                <w:sz w:val="21"/>
              </w:rPr>
              <w:t>工行苏州市新区支行</w:t>
            </w:r>
          </w:p>
        </w:tc>
        <w:tc>
          <w:tcPr>
            <w:tcW w:type="dxa" w:w="4800"/>
            <w:tcBorders>
              <w:top w:val="single" w:sz="6"/>
              <w:left w:val="single" w:sz="6"/>
              <w:bottom w:val="nil"/>
              <w:right w:val="single" w:sz="6"/>
            </w:tcBorders>
            <w:tcMar>
              <w:top w:w="20" w:type="dxa"/>
              <w:left w:w="20" w:type="dxa"/>
              <w:bottom w:w="20" w:type="dxa"/>
              <w:right w:w="20" w:type="dxa"/>
            </w:tcMar>
            <w:vAlign w:val="center"/>
          </w:tcPr>
          <w:p>
            <w:pPr>
              <w:wordWrap w:val="off"/>
              <w:spacing w:lineRule="exact" w:line="378"/>
              <w:jc w:val="left"/>
            </w:pPr>
            <w:r>
              <w:rPr>
                <w:rFonts w:ascii="宋体" w:hAnsi="宋体" w:cs="宋体" w:eastAsia="宋体"/>
                <w:color w:val="000000"/>
                <w:sz w:val="21"/>
              </w:rPr>
              <w:t>开户银行：</w:t>
            </w:r>
            <w:r>
              <w:rPr>
                <w:rFonts w:ascii="宋体" w:hAnsi="宋体" w:cs="宋体" w:eastAsia="宋体"/>
                <w:color w:val="000000"/>
                <w:sz w:val="21"/>
              </w:rPr>
              <w:t>　　　　　　</w:t>
            </w:r>
          </w:p>
        </w:tc>
      </w:tr>
      <w:tr>
        <w:trPr>
          <w:trHeight w:val="390"/>
        </w:trPr>
        <w:tc>
          <w:tcPr>
            <w:tcW w:type="dxa" w:w="4800"/>
            <w:tcBorders>
              <w:top w:val="single" w:sz="6"/>
              <w:left w:val="single" w:sz="6"/>
              <w:bottom w:val="nil"/>
              <w:right w:val="nil"/>
            </w:tcBorders>
            <w:tcMar>
              <w:top w:w="20" w:type="dxa"/>
              <w:left w:w="20" w:type="dxa"/>
              <w:bottom w:w="20" w:type="dxa"/>
              <w:right w:w="20" w:type="dxa"/>
            </w:tcMar>
            <w:vAlign w:val="center"/>
          </w:tcPr>
          <w:p>
            <w:pPr>
              <w:wordWrap w:val="off"/>
              <w:spacing w:lineRule="exact" w:line="378"/>
              <w:jc w:val="left"/>
            </w:pPr>
            <w:r>
              <w:rPr>
                <w:rFonts w:ascii="宋体" w:hAnsi="宋体" w:cs="宋体" w:eastAsia="宋体"/>
                <w:color w:val="000000"/>
                <w:sz w:val="21"/>
              </w:rPr>
              <w:t>账号：</w:t>
            </w:r>
            <w:r>
              <w:rPr>
                <w:rFonts w:ascii="宋体" w:hAnsi="宋体" w:cs="宋体" w:eastAsia="宋体"/>
                <w:color w:val="000000"/>
                <w:sz w:val="21"/>
              </w:rPr>
              <w:t>1102021109002045964</w:t>
            </w:r>
          </w:p>
        </w:tc>
        <w:tc>
          <w:tcPr>
            <w:tcW w:type="dxa" w:w="4800"/>
            <w:tcBorders>
              <w:top w:val="single" w:sz="6"/>
              <w:left w:val="single" w:sz="6"/>
              <w:bottom w:val="nil"/>
              <w:right w:val="single" w:sz="6"/>
            </w:tcBorders>
            <w:tcMar>
              <w:top w:w="20" w:type="dxa"/>
              <w:left w:w="20" w:type="dxa"/>
              <w:bottom w:w="20" w:type="dxa"/>
              <w:right w:w="20" w:type="dxa"/>
            </w:tcMar>
            <w:vAlign w:val="center"/>
          </w:tcPr>
          <w:p>
            <w:pPr>
              <w:wordWrap w:val="off"/>
              <w:spacing w:lineRule="exact" w:line="378"/>
              <w:jc w:val="left"/>
            </w:pPr>
            <w:r>
              <w:rPr>
                <w:rFonts w:ascii="宋体" w:hAnsi="宋体" w:cs="宋体" w:eastAsia="宋体"/>
                <w:color w:val="000000"/>
                <w:sz w:val="21"/>
              </w:rPr>
              <w:t>账号：</w:t>
            </w:r>
            <w:r>
              <w:rPr>
                <w:rFonts w:ascii="宋体" w:hAnsi="宋体" w:cs="宋体" w:eastAsia="宋体"/>
                <w:color w:val="000000"/>
                <w:sz w:val="21"/>
              </w:rPr>
              <w:t>　　　　　　</w:t>
            </w:r>
          </w:p>
        </w:tc>
      </w:tr>
      <w:tr>
        <w:trPr>
          <w:trHeight w:val="390"/>
        </w:trPr>
        <w:tc>
          <w:tcPr>
            <w:tcW w:type="dxa" w:w="4800"/>
            <w:tcBorders>
              <w:top w:val="single" w:sz="6"/>
              <w:left w:val="single" w:sz="6"/>
              <w:bottom w:val="single" w:sz="6"/>
              <w:right w:val="nil"/>
            </w:tcBorders>
            <w:tcMar>
              <w:top w:w="20" w:type="dxa"/>
              <w:left w:w="20" w:type="dxa"/>
              <w:bottom w:w="20" w:type="dxa"/>
              <w:right w:w="20" w:type="dxa"/>
            </w:tcMar>
            <w:vAlign w:val="center"/>
          </w:tcPr>
          <w:p>
            <w:pPr>
              <w:wordWrap w:val="off"/>
              <w:spacing w:lineRule="exact" w:line="378"/>
              <w:jc w:val="left"/>
            </w:pPr>
            <w:r>
              <w:rPr>
                <w:rFonts w:ascii="宋体" w:hAnsi="宋体" w:cs="宋体" w:eastAsia="宋体"/>
                <w:color w:val="000000"/>
                <w:sz w:val="21"/>
              </w:rPr>
              <w:t>邮政编码：</w:t>
            </w:r>
            <w:r>
              <w:rPr>
                <w:rFonts w:ascii="宋体" w:hAnsi="宋体" w:cs="宋体" w:eastAsia="宋体"/>
                <w:color w:val="000000"/>
                <w:sz w:val="21"/>
              </w:rPr>
              <w:t>215009</w:t>
            </w:r>
          </w:p>
        </w:tc>
        <w:tc>
          <w:tcPr>
            <w:tcW w:type="dxa" w:w="4800"/>
            <w:tcBorders>
              <w:top w:val="single" w:sz="6"/>
              <w:left w:val="single" w:sz="6"/>
              <w:bottom w:val="single" w:sz="6"/>
              <w:right w:val="single" w:sz="6"/>
            </w:tcBorders>
            <w:tcMar>
              <w:top w:w="20" w:type="dxa"/>
              <w:left w:w="20" w:type="dxa"/>
              <w:bottom w:w="20" w:type="dxa"/>
              <w:right w:w="20" w:type="dxa"/>
            </w:tcMar>
            <w:vAlign w:val="center"/>
          </w:tcPr>
          <w:p>
            <w:pPr>
              <w:wordWrap w:val="off"/>
              <w:spacing w:lineRule="exact" w:line="378"/>
              <w:jc w:val="left"/>
            </w:pPr>
            <w:r>
              <w:rPr>
                <w:rFonts w:ascii="宋体" w:hAnsi="宋体" w:cs="宋体" w:eastAsia="宋体"/>
                <w:color w:val="000000"/>
                <w:sz w:val="21"/>
              </w:rPr>
              <w:t>邮政编码：</w:t>
            </w:r>
            <w:r>
              <w:rPr>
                <w:rFonts w:ascii="宋体" w:hAnsi="宋体" w:cs="宋体" w:eastAsia="宋体"/>
                <w:color w:val="000000"/>
                <w:sz w:val="21"/>
              </w:rPr>
              <w:t>　　　　　　</w:t>
            </w:r>
          </w:p>
        </w:tc>
      </w:tr>
    </w:tbl>
    <w:p>
      <w:pPr>
        <w:spacing w:before="0" w:after="0" w:lineRule="exact" w:line="330"/>
      </w:pPr>
    </w:p>
    <w:p>
      <w:pPr>
        <w:sectPr>
          <w:pgSz w:w="11907" w:h="16839" w:orient="portrait"/>
          <w:pgMar w:top="1077" w:right="1154" w:bottom="1077" w:left="1154"/>
        </w:sectPr>
      </w:pPr>
    </w:p>
    <w:p>
      <w:pPr>
        <w:wordWrap w:val="off"/>
        <w:spacing w:before="75" w:after="75"/>
        <w:jc w:val="center"/>
        <w:outlineLvl w:val="0"/>
      </w:pPr>
      <w:r>
        <w:rPr>
          <w:rFonts w:ascii="宋体" w:hAnsi="宋体" w:cs="宋体" w:eastAsia="宋体"/>
          <w:b w:val="true"/>
          <w:color w:val="000000"/>
          <w:sz w:val="40"/>
        </w:rPr>
        <w:t>第六章 竞争性磋商文件格式及附件</w:t>
      </w:r>
    </w:p>
    <w:p>
      <w:pPr>
        <w:wordWrap w:val="off"/>
        <w:spacing w:before="207" w:after="207"/>
        <w:jc w:val="center"/>
      </w:pPr>
      <w:r>
        <w:rPr>
          <w:rFonts w:ascii="宋体" w:hAnsi="宋体" w:cs="宋体" w:eastAsia="宋体"/>
          <w:b w:val="true"/>
          <w:color w:val="000000"/>
          <w:sz w:val="32"/>
        </w:rPr>
        <w:t>目  录</w:t>
      </w:r>
    </w:p>
    <w:p>
      <w:pPr>
        <w:wordWrap w:val="off"/>
        <w:spacing w:lineRule="exact" w:line="378"/>
        <w:ind w:firstLineChars="200"/>
        <w:jc w:val="left"/>
      </w:pPr>
      <w:r>
        <w:rPr>
          <w:rFonts w:ascii="宋体" w:hAnsi="宋体" w:cs="宋体" w:eastAsia="宋体"/>
          <w:color w:val="000000"/>
          <w:sz w:val="21"/>
        </w:rPr>
        <w:t/>
      </w:r>
      <w:r>
        <w:rPr>
          <w:rFonts w:ascii="宋体" w:hAnsi="宋体" w:cs="宋体" w:eastAsia="宋体"/>
          <w:color w:val="000000"/>
          <w:sz w:val="21"/>
        </w:rPr>
        <w:t>附件一：法人授权委托书</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附件二：磋商响应函</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附件三：评分索引表</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附件四：竞争性磋商报价表</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附件五：商务条款响应及偏离表</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附件六：技术参数响应及偏离表</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附件七：供应商资格索引表</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附件八：资格证明材料</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附件九：中小企业、残疾人福利性单位、监狱企业声明资料</w:t>
      </w:r>
    </w:p>
    <w:p>
      <w:pPr>
        <w:sectPr>
          <w:pgSz w:w="11907" w:h="16839" w:orient="portrait"/>
          <w:pgMar w:top="1077" w:right="1154" w:bottom="1077" w:left="1154"/>
        </w:sectPr>
      </w:pPr>
    </w:p>
    <w:p>
      <w:pPr>
        <w:wordWrap w:val="off"/>
        <w:spacing w:lineRule="exact" w:line="378"/>
        <w:jc w:val="left"/>
        <w:outlineLvl w:val="1"/>
      </w:pPr>
      <w:r>
        <w:rPr>
          <w:rFonts w:ascii="宋体" w:hAnsi="宋体" w:cs="宋体" w:eastAsia="宋体"/>
          <w:b w:val="true"/>
          <w:color w:val="000000"/>
          <w:sz w:val="21"/>
        </w:rPr>
        <w:t>附件一： 法人授权委托书</w:t>
      </w:r>
    </w:p>
    <w:p>
      <w:pPr>
        <w:wordWrap w:val="off"/>
        <w:spacing w:before="222" w:after="222"/>
        <w:jc w:val="center"/>
      </w:pPr>
      <w:r>
        <w:rPr>
          <w:rFonts w:ascii="宋体" w:hAnsi="宋体" w:cs="宋体" w:eastAsia="宋体"/>
          <w:b w:val="true"/>
          <w:color w:val="000000"/>
          <w:sz w:val="32"/>
        </w:rPr>
        <w:t>法人授权委托书</w:t>
      </w:r>
    </w:p>
    <w:p>
      <w:pPr>
        <w:wordWrap w:val="off"/>
        <w:spacing w:lineRule="exact" w:line="378"/>
        <w:ind w:firstLineChars="200"/>
        <w:jc w:val="left"/>
      </w:pPr>
      <w:r>
        <w:rPr>
          <w:rFonts w:ascii="宋体" w:hAnsi="宋体" w:cs="宋体" w:eastAsia="宋体"/>
          <w:color w:val="000000"/>
          <w:sz w:val="21"/>
        </w:rPr>
        <w:t>本授权委托书声明：我</w:t>
      </w:r>
      <w:r>
        <w:rPr>
          <w:rFonts w:ascii="宋体" w:hAnsi="宋体" w:cs="宋体" w:eastAsia="宋体"/>
          <w:color w:val="000000"/>
          <w:sz w:val="21"/>
          <w:u w:val="single"/>
        </w:rPr>
        <w:t xml:space="preserve">          </w:t>
      </w:r>
      <w:r>
        <w:rPr>
          <w:rFonts w:ascii="宋体" w:hAnsi="宋体" w:cs="宋体" w:eastAsia="宋体"/>
          <w:color w:val="000000"/>
          <w:sz w:val="21"/>
        </w:rPr>
        <w:t>（姓名）系</w:t>
      </w:r>
      <w:r>
        <w:rPr>
          <w:rFonts w:ascii="宋体" w:hAnsi="宋体" w:cs="宋体" w:eastAsia="宋体"/>
          <w:color w:val="000000"/>
          <w:sz w:val="21"/>
          <w:u w:val="single"/>
        </w:rPr>
        <w:t xml:space="preserve">                  </w:t>
      </w:r>
      <w:r>
        <w:rPr>
          <w:rFonts w:ascii="宋体" w:hAnsi="宋体" w:cs="宋体" w:eastAsia="宋体"/>
          <w:color w:val="000000"/>
          <w:sz w:val="21"/>
        </w:rPr>
        <w:t>（投标单位名称）的法定代表人，现授权委托</w:t>
      </w:r>
      <w:r>
        <w:rPr>
          <w:rFonts w:ascii="宋体" w:hAnsi="宋体" w:cs="宋体" w:eastAsia="宋体"/>
          <w:color w:val="000000"/>
          <w:sz w:val="21"/>
          <w:u w:val="single"/>
        </w:rPr>
        <w:t xml:space="preserve">                                          </w:t>
      </w:r>
      <w:r>
        <w:rPr>
          <w:rFonts w:ascii="宋体" w:hAnsi="宋体" w:cs="宋体" w:eastAsia="宋体"/>
          <w:color w:val="000000"/>
          <w:sz w:val="21"/>
        </w:rPr>
        <w:t>（单位名称）的</w:t>
      </w:r>
      <w:r>
        <w:rPr>
          <w:rFonts w:ascii="宋体" w:hAnsi="宋体" w:cs="宋体" w:eastAsia="宋体"/>
          <w:color w:val="000000"/>
          <w:sz w:val="21"/>
          <w:u w:val="single"/>
        </w:rPr>
        <w:t xml:space="preserve">          </w:t>
      </w:r>
      <w:r>
        <w:rPr>
          <w:rFonts w:ascii="宋体" w:hAnsi="宋体" w:cs="宋体" w:eastAsia="宋体"/>
          <w:color w:val="000000"/>
          <w:sz w:val="21"/>
        </w:rPr>
        <w:t>（姓名）为我公司代理人，以本公司的名义参加苏州科技大学招投标管理办公室组织实施的编号为</w:t>
      </w:r>
      <w:r>
        <w:rPr>
          <w:rFonts w:ascii="宋体" w:hAnsi="宋体" w:cs="宋体" w:eastAsia="宋体"/>
          <w:color w:val="000000"/>
          <w:sz w:val="21"/>
          <w:u w:val="single"/>
        </w:rPr>
        <w:t>20250083号</w:t>
      </w:r>
      <w:r>
        <w:rPr>
          <w:rFonts w:ascii="宋体" w:hAnsi="宋体" w:cs="宋体" w:eastAsia="宋体"/>
          <w:color w:val="000000"/>
          <w:sz w:val="21"/>
        </w:rPr>
        <w:t>的招标活动。代理人在开标、评标、合同谈判过程中所签署的一切文件和处理与这有关的一切事务，我均予以承认。</w:t>
      </w:r>
    </w:p>
    <w:p>
      <w:pPr>
        <w:wordWrap w:val="off"/>
        <w:spacing w:before="0" w:after="0" w:lineRule="exact" w:line="378"/>
        <w:ind w:firstLineChars="200"/>
        <w:jc w:val="left"/>
      </w:pPr>
      <w:r>
        <w:rPr>
          <w:rFonts w:ascii="宋体" w:hAnsi="宋体" w:cs="宋体" w:eastAsia="宋体"/>
          <w:color w:val="000000"/>
          <w:sz w:val="21"/>
        </w:rPr>
        <w:t>代理人在授权委托书有效期内签署的所有文件不因授权委托的撤销而失效，除非有撤销授权委托的书面通知，本授权委托书自投标开始至合同履行完毕止。</w:t>
      </w:r>
    </w:p>
    <w:p>
      <w:pPr>
        <w:wordWrap w:val="off"/>
        <w:spacing w:before="0" w:after="0" w:lineRule="exact" w:line="378"/>
        <w:ind w:firstLineChars="200"/>
        <w:jc w:val="left"/>
      </w:pPr>
      <w:r>
        <w:rPr>
          <w:rFonts w:ascii="宋体" w:hAnsi="宋体" w:cs="宋体" w:eastAsia="宋体"/>
          <w:color w:val="000000"/>
          <w:sz w:val="21"/>
        </w:rPr>
        <w:t>代理人无转让委托权。</w:t>
      </w:r>
    </w:p>
    <w:p>
      <w:pPr>
        <w:wordWrap w:val="off"/>
        <w:spacing w:before="0" w:after="0" w:lineRule="exact" w:line="378"/>
        <w:ind w:firstLineChars="200"/>
        <w:jc w:val="left"/>
      </w:pPr>
      <w:r>
        <w:rPr>
          <w:rFonts w:ascii="宋体" w:hAnsi="宋体" w:cs="宋体" w:eastAsia="宋体"/>
          <w:color w:val="000000"/>
          <w:sz w:val="21"/>
        </w:rPr>
        <w:t>特此委托。</w:t>
      </w:r>
    </w:p>
    <w:p>
      <w:pPr>
        <w:wordWrap w:val="off"/>
        <w:spacing w:before="0" w:after="0" w:lineRule="exact" w:line="378"/>
        <w:jc w:val="left"/>
      </w:pPr>
    </w:p>
    <w:p>
      <w:pPr>
        <w:wordWrap w:val="off"/>
        <w:spacing w:before="0" w:after="0" w:lineRule="exact" w:line="378"/>
        <w:ind w:firstLineChars="200"/>
        <w:jc w:val="left"/>
      </w:pPr>
      <w:r>
        <w:rPr>
          <w:rFonts w:ascii="宋体" w:hAnsi="宋体" w:cs="宋体" w:eastAsia="宋体"/>
          <w:color w:val="000000"/>
          <w:sz w:val="21"/>
        </w:rPr>
        <w:t>投标单位：（盖章）</w:t>
      </w:r>
    </w:p>
    <w:p>
      <w:pPr>
        <w:wordWrap w:val="off"/>
        <w:spacing w:before="0" w:after="0" w:lineRule="exact" w:line="378"/>
        <w:ind w:firstLineChars="200"/>
        <w:jc w:val="left"/>
      </w:pPr>
      <w:r>
        <w:rPr>
          <w:rFonts w:ascii="宋体" w:hAnsi="宋体" w:cs="宋体" w:eastAsia="宋体"/>
          <w:color w:val="000000"/>
          <w:sz w:val="21"/>
        </w:rPr>
        <w:t>法定代表人：（签字或盖章）</w:t>
      </w:r>
    </w:p>
    <w:p>
      <w:pPr>
        <w:wordWrap w:val="off"/>
        <w:spacing w:before="0" w:after="0" w:lineRule="exact" w:line="378"/>
        <w:ind w:firstLineChars="200"/>
        <w:jc w:val="left"/>
      </w:pPr>
      <w:r>
        <w:rPr>
          <w:rFonts w:ascii="宋体" w:hAnsi="宋体" w:cs="宋体" w:eastAsia="宋体"/>
          <w:color w:val="000000"/>
          <w:sz w:val="21"/>
        </w:rPr>
        <w:t>代理人：（签字或盖章）</w:t>
      </w:r>
    </w:p>
    <w:p>
      <w:pPr>
        <w:wordWrap w:val="off"/>
        <w:spacing w:before="0" w:after="0" w:lineRule="exact" w:line="378"/>
        <w:ind w:firstLineChars="200"/>
        <w:jc w:val="left"/>
      </w:pPr>
      <w:r>
        <w:rPr>
          <w:rFonts w:ascii="宋体" w:hAnsi="宋体" w:cs="宋体" w:eastAsia="宋体"/>
          <w:color w:val="000000"/>
          <w:sz w:val="21"/>
        </w:rPr>
        <w:t>代理人联系方式：</w:t>
      </w:r>
    </w:p>
    <w:p>
      <w:pPr>
        <w:wordWrap w:val="off"/>
        <w:spacing w:before="0" w:after="0" w:lineRule="exact" w:line="378"/>
        <w:ind w:firstLineChars="200"/>
        <w:jc w:val="left"/>
      </w:pPr>
      <w:r>
        <w:rPr>
          <w:rFonts w:ascii="宋体" w:hAnsi="宋体" w:cs="宋体" w:eastAsia="宋体"/>
          <w:color w:val="000000"/>
          <w:sz w:val="21"/>
        </w:rPr>
        <w:t>代理人邮箱：</w:t>
      </w:r>
    </w:p>
    <w:p>
      <w:pPr>
        <w:wordWrap w:val="off"/>
        <w:spacing w:before="0" w:after="0" w:lineRule="exact" w:line="378"/>
        <w:jc w:val="left"/>
      </w:pPr>
    </w:p>
    <w:p>
      <w:pPr>
        <w:wordWrap w:val="off"/>
        <w:spacing w:before="0" w:after="0" w:lineRule="exact" w:line="378"/>
        <w:ind w:firstLineChars="3150"/>
        <w:jc w:val="left"/>
      </w:pPr>
      <w:r>
        <w:rPr>
          <w:rFonts w:ascii="宋体" w:hAnsi="宋体" w:cs="宋体" w:eastAsia="宋体"/>
          <w:color w:val="000000"/>
          <w:sz w:val="21"/>
        </w:rPr>
        <w:t>年  月  日</w:t>
      </w:r>
    </w:p>
    <w:p>
      <w:pPr>
        <w:wordWrap w:val="off"/>
        <w:spacing w:before="0" w:after="0" w:lineRule="exact" w:line="378"/>
        <w:jc w:val="left"/>
      </w:pPr>
    </w:p>
    <w:p>
      <w:pPr>
        <w:wordWrap w:val="off"/>
        <w:spacing w:before="0" w:after="0" w:lineRule="exact" w:line="378"/>
        <w:ind w:firstLineChars="200"/>
        <w:jc w:val="left"/>
      </w:pPr>
      <w:r>
        <w:rPr>
          <w:rFonts w:ascii="宋体" w:hAnsi="宋体" w:cs="宋体" w:eastAsia="宋体"/>
          <w:color w:val="000000"/>
          <w:sz w:val="21"/>
        </w:rPr>
        <w:t>法定代表人（身份证复印件）：</w:t>
      </w:r>
    </w:p>
    <w:p>
      <w:pPr>
        <w:wordWrap w:val="off"/>
        <w:spacing w:before="0" w:after="0" w:lineRule="exact" w:line="378"/>
        <w:jc w:val="left"/>
      </w:pPr>
    </w:p>
    <w:p>
      <w:pPr>
        <w:wordWrap w:val="off"/>
        <w:spacing w:before="0" w:after="0" w:lineRule="exact" w:line="378"/>
        <w:jc w:val="left"/>
      </w:pPr>
    </w:p>
    <w:p>
      <w:pPr>
        <w:wordWrap w:val="off"/>
        <w:spacing w:before="0" w:after="0" w:lineRule="exact" w:line="378"/>
        <w:jc w:val="left"/>
      </w:pPr>
    </w:p>
    <w:p>
      <w:pPr>
        <w:wordWrap w:val="off"/>
        <w:spacing w:before="0" w:after="0" w:lineRule="exact" w:line="378"/>
        <w:jc w:val="left"/>
      </w:pPr>
    </w:p>
    <w:p>
      <w:pPr>
        <w:wordWrap w:val="off"/>
        <w:spacing w:before="0" w:after="0" w:lineRule="exact" w:line="378"/>
        <w:jc w:val="left"/>
      </w:pPr>
    </w:p>
    <w:p>
      <w:pPr>
        <w:wordWrap w:val="off"/>
        <w:spacing w:before="0" w:after="0" w:lineRule="exact" w:line="378"/>
        <w:jc w:val="left"/>
      </w:pPr>
    </w:p>
    <w:p>
      <w:pPr>
        <w:wordWrap w:val="off"/>
        <w:spacing w:before="0" w:after="0" w:lineRule="exact" w:line="378"/>
        <w:jc w:val="left"/>
      </w:pPr>
    </w:p>
    <w:p>
      <w:pPr>
        <w:wordWrap w:val="off"/>
        <w:spacing w:before="0" w:after="0" w:lineRule="exact" w:line="378"/>
        <w:jc w:val="left"/>
      </w:pPr>
    </w:p>
    <w:p>
      <w:pPr>
        <w:wordWrap w:val="off"/>
        <w:spacing w:before="0" w:after="0" w:lineRule="exact" w:line="378"/>
        <w:ind w:firstLineChars="200"/>
        <w:jc w:val="left"/>
      </w:pPr>
      <w:r>
        <w:rPr>
          <w:rFonts w:ascii="宋体" w:hAnsi="宋体" w:cs="宋体" w:eastAsia="宋体"/>
          <w:color w:val="000000"/>
          <w:sz w:val="21"/>
        </w:rPr>
        <w:t xml:space="preserve">代理人（身份证复印件）： </w:t>
      </w:r>
    </w:p>
    <w:p>
      <w:pPr>
        <w:spacing w:before="0" w:after="0" w:lineRule="exact" w:line="2010"/>
      </w:pPr>
    </w:p>
    <w:p>
      <w:pPr>
        <w:sectPr>
          <w:pgSz w:w="11907" w:h="16839" w:orient="portrait"/>
          <w:pgMar w:top="1077" w:right="1154" w:bottom="1077" w:left="1154"/>
        </w:sectPr>
      </w:pPr>
    </w:p>
    <w:p>
      <w:pPr>
        <w:wordWrap w:val="off"/>
        <w:spacing w:lineRule="exact" w:line="378"/>
        <w:jc w:val="left"/>
        <w:outlineLvl w:val="1"/>
      </w:pPr>
      <w:r>
        <w:rPr>
          <w:rFonts w:ascii="宋体" w:hAnsi="宋体" w:cs="宋体" w:eastAsia="宋体"/>
          <w:b w:val="true"/>
          <w:color w:val="000000"/>
          <w:sz w:val="21"/>
        </w:rPr>
        <w:t>附件二： 磋商响应函</w:t>
      </w:r>
    </w:p>
    <w:p>
      <w:pPr>
        <w:wordWrap w:val="off"/>
        <w:spacing w:before="225" w:after="225"/>
        <w:jc w:val="center"/>
      </w:pPr>
      <w:r>
        <w:rPr>
          <w:rFonts w:ascii="宋体" w:hAnsi="宋体" w:cs="宋体" w:eastAsia="宋体"/>
          <w:b w:val="true"/>
          <w:color w:val="000000"/>
          <w:sz w:val="28"/>
        </w:rPr>
        <w:t>磋商响应函</w:t>
      </w:r>
    </w:p>
    <w:p>
      <w:pPr>
        <w:wordWrap w:val="off"/>
        <w:spacing w:lineRule="exact" w:line="315"/>
        <w:jc w:val="left"/>
      </w:pPr>
      <w:r>
        <w:rPr>
          <w:rFonts w:ascii="宋体" w:hAnsi="宋体" w:cs="宋体" w:eastAsia="宋体"/>
          <w:color w:val="000000"/>
          <w:sz w:val="21"/>
          <w:u w:val="single"/>
        </w:rPr>
        <w:t>苏州科技大学招投标管理办公室</w:t>
      </w:r>
      <w:r>
        <w:rPr>
          <w:rFonts w:ascii="宋体" w:hAnsi="宋体" w:cs="宋体" w:eastAsia="宋体"/>
          <w:color w:val="000000"/>
          <w:sz w:val="21"/>
        </w:rPr>
        <w:t>：</w:t>
      </w:r>
    </w:p>
    <w:p>
      <w:pPr>
        <w:wordWrap w:val="off"/>
        <w:spacing w:before="0" w:after="0" w:lineRule="exact" w:line="315"/>
        <w:ind w:firstLineChars="200"/>
        <w:jc w:val="left"/>
      </w:pPr>
      <w:r>
        <w:rPr>
          <w:rFonts w:ascii="宋体" w:hAnsi="宋体" w:cs="宋体" w:eastAsia="宋体"/>
          <w:color w:val="000000"/>
          <w:sz w:val="21"/>
        </w:rPr>
        <w:t>我们收到苏州科技大学</w:t>
      </w:r>
      <w:r>
        <w:rPr>
          <w:rFonts w:ascii="宋体" w:hAnsi="宋体" w:cs="宋体" w:eastAsia="宋体"/>
          <w:color w:val="000000"/>
          <w:sz w:val="21"/>
          <w:u w:val="single"/>
        </w:rPr>
        <w:t>20250083号</w:t>
      </w:r>
      <w:r>
        <w:rPr>
          <w:rFonts w:ascii="宋体" w:hAnsi="宋体" w:cs="宋体" w:eastAsia="宋体"/>
          <w:color w:val="000000"/>
          <w:sz w:val="21"/>
        </w:rPr>
        <w:t>磋商文件，经仔细阅读和研究，我们决定参加磋商响应。</w:t>
      </w:r>
    </w:p>
    <w:p>
      <w:pPr>
        <w:wordWrap w:val="off"/>
        <w:spacing w:lineRule="exact" w:line="315"/>
        <w:ind w:firstLineChars="200"/>
        <w:jc w:val="left"/>
      </w:pPr>
      <w:r>
        <w:rPr>
          <w:rFonts w:ascii="宋体" w:hAnsi="宋体" w:cs="宋体" w:eastAsia="宋体"/>
          <w:color w:val="000000"/>
          <w:sz w:val="21"/>
        </w:rPr>
        <w:t/>
      </w:r>
      <w:r>
        <w:rPr>
          <w:rFonts w:ascii="宋体" w:hAnsi="宋体" w:cs="宋体" w:eastAsia="宋体"/>
          <w:color w:val="000000"/>
          <w:sz w:val="21"/>
        </w:rPr>
        <w:t>1、我们愿意按照磋商文件的一切要求，完成该项目的全部内容。我们的报价包括</w:t>
      </w:r>
      <w:r>
        <w:rPr>
          <w:rFonts w:ascii="宋体" w:hAnsi="宋体" w:cs="宋体" w:eastAsia="宋体"/>
          <w:color w:val="000000"/>
          <w:sz w:val="21"/>
        </w:rPr>
        <w:t>劳务、制作、运输、仓储、管理、维护、保险、利润、税金、政策性文件规定及合同包含的所有风险、责任等各项应有</w:t>
      </w:r>
      <w:r>
        <w:rPr>
          <w:rFonts w:ascii="宋体" w:hAnsi="宋体" w:cs="宋体" w:eastAsia="宋体"/>
          <w:color w:val="000000"/>
          <w:sz w:val="21"/>
        </w:rPr>
        <w:t>费用。明细详见《磋商响应报价表》。</w:t>
      </w:r>
    </w:p>
    <w:p>
      <w:pPr>
        <w:wordWrap w:val="off"/>
        <w:spacing w:before="0" w:after="0" w:lineRule="exact" w:line="315"/>
        <w:ind w:firstLineChars="200"/>
        <w:jc w:val="left"/>
      </w:pPr>
      <w:r>
        <w:rPr>
          <w:rFonts w:ascii="宋体" w:hAnsi="宋体" w:cs="宋体" w:eastAsia="宋体"/>
          <w:color w:val="000000"/>
          <w:sz w:val="21"/>
        </w:rPr>
        <w:t/>
      </w:r>
      <w:r>
        <w:rPr>
          <w:rFonts w:ascii="宋体" w:hAnsi="宋体" w:cs="宋体" w:eastAsia="宋体"/>
          <w:color w:val="000000"/>
          <w:sz w:val="21"/>
        </w:rPr>
        <w:t>2、如果我们成交，我们将严格履行磋商文件中规定的每一项要求，按期、按质、按量履行合同的义务。</w:t>
      </w:r>
    </w:p>
    <w:p>
      <w:pPr>
        <w:wordWrap w:val="off"/>
        <w:spacing w:before="0" w:after="0" w:lineRule="exact" w:line="315"/>
        <w:ind w:firstLineChars="200"/>
        <w:jc w:val="left"/>
      </w:pPr>
      <w:r>
        <w:rPr>
          <w:rFonts w:ascii="宋体" w:hAnsi="宋体" w:cs="宋体" w:eastAsia="宋体"/>
          <w:color w:val="000000"/>
          <w:sz w:val="21"/>
        </w:rPr>
        <w:t/>
      </w:r>
      <w:r>
        <w:rPr>
          <w:rFonts w:ascii="宋体" w:hAnsi="宋体" w:cs="宋体" w:eastAsia="宋体"/>
          <w:color w:val="000000"/>
          <w:sz w:val="21"/>
        </w:rPr>
        <w:t>3、我们已详细阅读全部磋商文件，包括更正公告(如有)，对磋商文件及更正公告(如有)无任何异议。我们完全理解并同意放弃对这方面有不明及误解的权力。</w:t>
      </w:r>
    </w:p>
    <w:p>
      <w:pPr>
        <w:wordWrap w:val="off"/>
        <w:spacing w:before="0" w:after="0" w:lineRule="exact" w:line="315"/>
        <w:ind w:firstLineChars="200"/>
        <w:jc w:val="left"/>
      </w:pPr>
      <w:r>
        <w:rPr>
          <w:rFonts w:ascii="宋体" w:hAnsi="宋体" w:cs="宋体" w:eastAsia="宋体"/>
          <w:color w:val="000000"/>
          <w:sz w:val="21"/>
        </w:rPr>
        <w:t/>
      </w:r>
      <w:r>
        <w:rPr>
          <w:rFonts w:ascii="宋体" w:hAnsi="宋体" w:cs="宋体" w:eastAsia="宋体"/>
          <w:color w:val="000000"/>
          <w:sz w:val="21"/>
        </w:rPr>
        <w:t>4、我们同意按磋商文件中的规定，本磋商响应文件的有效期限为提交响应文件截止时间之日起</w:t>
      </w:r>
      <w:r>
        <w:rPr>
          <w:rFonts w:ascii="宋体" w:hAnsi="宋体" w:cs="宋体" w:eastAsia="宋体"/>
          <w:color w:val="000000"/>
          <w:sz w:val="21"/>
          <w:u w:val="single"/>
        </w:rPr>
        <w:t>60</w:t>
      </w:r>
      <w:r>
        <w:rPr>
          <w:rFonts w:ascii="宋体" w:hAnsi="宋体" w:cs="宋体" w:eastAsia="宋体"/>
          <w:color w:val="000000"/>
          <w:sz w:val="21"/>
        </w:rPr>
        <w:t>天。</w:t>
      </w:r>
    </w:p>
    <w:p>
      <w:pPr>
        <w:wordWrap w:val="off"/>
        <w:spacing w:before="0" w:after="0" w:lineRule="exact" w:line="315"/>
        <w:ind w:firstLineChars="200"/>
        <w:jc w:val="left"/>
      </w:pPr>
      <w:r>
        <w:rPr>
          <w:rFonts w:ascii="宋体" w:hAnsi="宋体" w:cs="宋体" w:eastAsia="宋体"/>
          <w:color w:val="000000"/>
          <w:sz w:val="21"/>
        </w:rPr>
        <w:t/>
      </w:r>
      <w:r>
        <w:rPr>
          <w:rFonts w:ascii="宋体" w:hAnsi="宋体" w:cs="宋体" w:eastAsia="宋体"/>
          <w:color w:val="000000"/>
          <w:sz w:val="21"/>
        </w:rPr>
        <w:t>5、我们愿意提供苏州科技大学在磋商文件中要求的所有资料。</w:t>
      </w:r>
    </w:p>
    <w:p>
      <w:pPr>
        <w:wordWrap w:val="off"/>
        <w:spacing w:before="0" w:after="0" w:lineRule="exact" w:line="315"/>
        <w:ind w:firstLineChars="200"/>
        <w:jc w:val="left"/>
      </w:pPr>
      <w:r>
        <w:rPr>
          <w:rFonts w:ascii="宋体" w:hAnsi="宋体" w:cs="宋体" w:eastAsia="宋体"/>
          <w:color w:val="000000"/>
          <w:sz w:val="21"/>
        </w:rPr>
        <w:t/>
      </w:r>
      <w:r>
        <w:rPr>
          <w:rFonts w:ascii="宋体" w:hAnsi="宋体" w:cs="宋体" w:eastAsia="宋体"/>
          <w:color w:val="000000"/>
          <w:sz w:val="21"/>
        </w:rPr>
        <w:t>6、我们认为你们有权决定成交者，还认为你们有权接受或拒绝所有的磋商响应者。</w:t>
      </w:r>
    </w:p>
    <w:p>
      <w:pPr>
        <w:wordWrap w:val="off"/>
        <w:spacing w:before="0" w:after="0" w:lineRule="exact" w:line="315"/>
        <w:ind w:firstLineChars="200"/>
        <w:jc w:val="left"/>
      </w:pPr>
      <w:r>
        <w:rPr>
          <w:rFonts w:ascii="宋体" w:hAnsi="宋体" w:cs="宋体" w:eastAsia="宋体"/>
          <w:color w:val="000000"/>
          <w:sz w:val="21"/>
        </w:rPr>
        <w:t/>
      </w:r>
      <w:r>
        <w:rPr>
          <w:rFonts w:ascii="宋体" w:hAnsi="宋体" w:cs="宋体" w:eastAsia="宋体"/>
          <w:color w:val="000000"/>
          <w:sz w:val="21"/>
        </w:rPr>
        <w:t>7、我们愿意遵守磋商公告及磋商文件中所列的收费标准。</w:t>
      </w:r>
    </w:p>
    <w:p>
      <w:pPr>
        <w:wordWrap w:val="off"/>
        <w:spacing w:before="0" w:after="0" w:lineRule="exact" w:line="315"/>
        <w:ind w:firstLineChars="200"/>
        <w:jc w:val="left"/>
      </w:pPr>
      <w:r>
        <w:rPr>
          <w:rFonts w:ascii="宋体" w:hAnsi="宋体" w:cs="宋体" w:eastAsia="宋体"/>
          <w:color w:val="000000"/>
          <w:sz w:val="21"/>
        </w:rPr>
        <w:t/>
      </w:r>
      <w:r>
        <w:rPr>
          <w:rFonts w:ascii="宋体" w:hAnsi="宋体" w:cs="宋体" w:eastAsia="宋体"/>
          <w:color w:val="000000"/>
          <w:sz w:val="21"/>
        </w:rPr>
        <w:t>8、我们承诺该响应文件在磋商开始后的全过程中保持有效，不作任何更改和变动。</w:t>
      </w:r>
    </w:p>
    <w:p>
      <w:pPr>
        <w:wordWrap w:val="off"/>
        <w:spacing w:before="0" w:after="0" w:lineRule="exact" w:line="315"/>
        <w:ind w:firstLineChars="200"/>
        <w:jc w:val="left"/>
      </w:pPr>
      <w:r>
        <w:rPr>
          <w:rFonts w:ascii="宋体" w:hAnsi="宋体" w:cs="宋体" w:eastAsia="宋体"/>
          <w:color w:val="000000"/>
          <w:sz w:val="21"/>
        </w:rPr>
        <w:t/>
      </w:r>
      <w:r>
        <w:rPr>
          <w:rFonts w:ascii="宋体" w:hAnsi="宋体" w:cs="宋体" w:eastAsia="宋体"/>
          <w:color w:val="000000"/>
          <w:sz w:val="21"/>
        </w:rPr>
        <w:t>9、我们承诺我公司符合磋商文件供应商须知中“合格供应商的基本、特定条件”的要求，若与真实情况不符，本公司愿意承担由此而产生的一切后果。</w:t>
      </w:r>
    </w:p>
    <w:p>
      <w:pPr>
        <w:wordWrap w:val="off"/>
        <w:spacing w:before="0" w:after="0" w:lineRule="exact" w:line="315"/>
        <w:ind w:firstLineChars="200"/>
        <w:jc w:val="left"/>
      </w:pPr>
      <w:r>
        <w:rPr>
          <w:rFonts w:ascii="宋体" w:hAnsi="宋体" w:cs="宋体" w:eastAsia="宋体"/>
          <w:color w:val="000000"/>
          <w:sz w:val="21"/>
        </w:rPr>
        <w:t/>
      </w:r>
      <w:r>
        <w:rPr>
          <w:rFonts w:ascii="宋体" w:hAnsi="宋体" w:cs="宋体" w:eastAsia="宋体"/>
          <w:color w:val="000000"/>
          <w:sz w:val="21"/>
        </w:rPr>
        <w:t xml:space="preserve">10、本次采购活动如规定收取保证金，我们愿意按磋商文件的规定交纳保证金，并同意其中关于保证金的相关规定。我们的保证金退回账号如下（如收取）： </w:t>
      </w:r>
    </w:p>
    <w:p>
      <w:pPr>
        <w:wordWrap w:val="off"/>
        <w:spacing w:before="0" w:after="0" w:lineRule="exact" w:line="315"/>
        <w:ind w:firstLineChars="200"/>
        <w:jc w:val="left"/>
      </w:pPr>
      <w:r>
        <w:rPr>
          <w:rFonts w:ascii="宋体" w:hAnsi="宋体" w:cs="宋体" w:eastAsia="宋体"/>
          <w:color w:val="000000"/>
          <w:sz w:val="21"/>
        </w:rPr>
        <w:t>户      名：</w:t>
      </w:r>
      <w:r>
        <w:rPr>
          <w:rFonts w:ascii="宋体" w:hAnsi="宋体" w:cs="宋体" w:eastAsia="宋体"/>
          <w:color w:val="000000"/>
          <w:sz w:val="21"/>
          <w:u w:val="single"/>
        </w:rPr>
        <w:t xml:space="preserve">                          </w:t>
      </w:r>
    </w:p>
    <w:p>
      <w:pPr>
        <w:wordWrap w:val="off"/>
        <w:spacing w:before="0" w:after="0" w:lineRule="exact" w:line="315"/>
        <w:ind w:firstLineChars="200"/>
        <w:jc w:val="left"/>
      </w:pPr>
      <w:r>
        <w:rPr>
          <w:rFonts w:ascii="宋体" w:hAnsi="宋体" w:cs="宋体" w:eastAsia="宋体"/>
          <w:color w:val="000000"/>
          <w:sz w:val="21"/>
        </w:rPr>
        <w:t>开户行名称：</w:t>
      </w:r>
      <w:r>
        <w:rPr>
          <w:rFonts w:ascii="宋体" w:hAnsi="宋体" w:cs="宋体" w:eastAsia="宋体"/>
          <w:color w:val="000000"/>
          <w:sz w:val="21"/>
          <w:u w:val="single"/>
        </w:rPr>
        <w:t xml:space="preserve">                          </w:t>
      </w:r>
    </w:p>
    <w:p>
      <w:pPr>
        <w:wordWrap w:val="off"/>
        <w:spacing w:before="0" w:after="0" w:lineRule="exact" w:line="315"/>
        <w:ind w:firstLineChars="200"/>
        <w:jc w:val="left"/>
      </w:pPr>
      <w:r>
        <w:rPr>
          <w:rFonts w:ascii="宋体" w:hAnsi="宋体" w:cs="宋体" w:eastAsia="宋体"/>
          <w:color w:val="000000"/>
          <w:sz w:val="21"/>
        </w:rPr>
        <w:t>银 行账 号：</w:t>
      </w:r>
      <w:r>
        <w:rPr>
          <w:rFonts w:ascii="宋体" w:hAnsi="宋体" w:cs="宋体" w:eastAsia="宋体"/>
          <w:color w:val="000000"/>
          <w:sz w:val="21"/>
          <w:u w:val="single"/>
        </w:rPr>
        <w:t xml:space="preserve">                          </w:t>
      </w:r>
    </w:p>
    <w:p>
      <w:pPr>
        <w:wordWrap w:val="off"/>
        <w:spacing w:before="0" w:after="0" w:lineRule="exact" w:line="315"/>
        <w:ind w:firstLineChars="200"/>
        <w:jc w:val="left"/>
      </w:pPr>
      <w:r>
        <w:rPr>
          <w:rFonts w:ascii="宋体" w:hAnsi="宋体" w:cs="宋体" w:eastAsia="宋体"/>
          <w:color w:val="000000"/>
          <w:sz w:val="21"/>
        </w:rPr>
        <w:t/>
      </w:r>
      <w:r>
        <w:rPr>
          <w:rFonts w:ascii="宋体" w:hAnsi="宋体" w:cs="宋体" w:eastAsia="宋体"/>
          <w:color w:val="000000"/>
          <w:sz w:val="21"/>
        </w:rPr>
        <w:t>11、如果我们成交，我们愿意按磋商文件要求支付履约保证金，愿意遵守磋商文件中所列的收费标准。</w:t>
      </w:r>
    </w:p>
    <w:p>
      <w:pPr>
        <w:wordWrap w:val="off"/>
        <w:spacing w:lineRule="exact" w:line="315"/>
        <w:ind w:firstLineChars="50"/>
        <w:jc w:val="left"/>
      </w:pPr>
      <w:r>
        <w:rPr>
          <w:rFonts w:ascii="宋体" w:hAnsi="宋体" w:cs="宋体" w:eastAsia="宋体"/>
          <w:color w:val="000000"/>
          <w:sz w:val="21"/>
        </w:rPr>
        <w:t/>
      </w:r>
    </w:p>
    <w:p>
      <w:pPr>
        <w:wordWrap w:val="off"/>
        <w:spacing w:before="0" w:after="0" w:lineRule="exact" w:line="315"/>
        <w:ind w:firstLineChars="200"/>
        <w:jc w:val="left"/>
      </w:pPr>
      <w:r>
        <w:rPr>
          <w:rFonts w:ascii="宋体" w:hAnsi="宋体" w:cs="宋体" w:eastAsia="宋体"/>
          <w:color w:val="000000"/>
          <w:sz w:val="21"/>
        </w:rPr>
        <w:t>所有有关标书的函电，请按下列地址联系：</w:t>
      </w:r>
    </w:p>
    <w:p>
      <w:pPr>
        <w:wordWrap w:val="off"/>
        <w:spacing w:before="0" w:after="0" w:lineRule="exact" w:line="315"/>
        <w:ind w:firstLineChars="400"/>
        <w:jc w:val="left"/>
      </w:pPr>
      <w:r>
        <w:rPr>
          <w:rFonts w:ascii="宋体" w:hAnsi="宋体" w:cs="宋体" w:eastAsia="宋体"/>
          <w:color w:val="000000"/>
          <w:sz w:val="21"/>
        </w:rPr>
        <w:t>单位：                      联系人：</w:t>
      </w:r>
    </w:p>
    <w:p>
      <w:pPr>
        <w:wordWrap w:val="off"/>
        <w:spacing w:before="0" w:after="0" w:lineRule="exact" w:line="315"/>
        <w:ind w:firstLineChars="400"/>
        <w:jc w:val="left"/>
      </w:pPr>
      <w:r>
        <w:rPr>
          <w:rFonts w:ascii="宋体" w:hAnsi="宋体" w:cs="宋体" w:eastAsia="宋体"/>
          <w:color w:val="000000"/>
          <w:sz w:val="21"/>
        </w:rPr>
        <w:t>地址：                      邮政编码：</w:t>
      </w:r>
    </w:p>
    <w:p>
      <w:pPr>
        <w:wordWrap w:val="off"/>
        <w:spacing w:before="0" w:after="0" w:lineRule="exact" w:line="315"/>
        <w:ind w:firstLineChars="400"/>
        <w:jc w:val="left"/>
      </w:pPr>
      <w:r>
        <w:rPr>
          <w:rFonts w:ascii="宋体" w:hAnsi="宋体" w:cs="宋体" w:eastAsia="宋体"/>
          <w:color w:val="000000"/>
          <w:sz w:val="21"/>
        </w:rPr>
        <w:t>联系电话：                  传真：</w:t>
      </w:r>
    </w:p>
    <w:p>
      <w:pPr>
        <w:wordWrap w:val="off"/>
        <w:spacing w:before="0" w:after="0" w:lineRule="exact" w:line="315"/>
        <w:jc w:val="left"/>
      </w:pPr>
    </w:p>
    <w:p>
      <w:pPr>
        <w:wordWrap w:val="off"/>
        <w:spacing w:before="0" w:after="0" w:lineRule="exact" w:line="315"/>
        <w:ind w:firstLineChars="400"/>
        <w:jc w:val="left"/>
      </w:pPr>
      <w:r>
        <w:rPr>
          <w:rFonts w:ascii="宋体" w:hAnsi="宋体" w:cs="宋体" w:eastAsia="宋体"/>
          <w:color w:val="000000"/>
          <w:sz w:val="21"/>
        </w:rPr>
        <w:t>投标方（单位盖章）</w:t>
      </w:r>
    </w:p>
    <w:p>
      <w:pPr>
        <w:wordWrap w:val="off"/>
        <w:spacing w:before="0" w:after="0" w:lineRule="exact" w:line="315"/>
        <w:jc w:val="left"/>
      </w:pPr>
    </w:p>
    <w:p>
      <w:pPr>
        <w:wordWrap w:val="off"/>
        <w:spacing w:before="0" w:after="0" w:lineRule="exact" w:line="315"/>
        <w:ind w:firstLineChars="400"/>
        <w:jc w:val="left"/>
      </w:pPr>
      <w:r>
        <w:rPr>
          <w:rFonts w:ascii="宋体" w:hAnsi="宋体" w:cs="宋体" w:eastAsia="宋体"/>
          <w:color w:val="000000"/>
          <w:sz w:val="21"/>
        </w:rPr>
        <w:t xml:space="preserve">法定代表人或代理人：（签字或盖章） </w:t>
      </w:r>
    </w:p>
    <w:p>
      <w:pPr>
        <w:wordWrap w:val="off"/>
        <w:spacing w:before="0" w:after="0" w:lineRule="exact" w:line="315"/>
        <w:jc w:val="left"/>
      </w:pPr>
    </w:p>
    <w:p>
      <w:pPr>
        <w:wordWrap w:val="off"/>
        <w:spacing w:before="0" w:after="0" w:lineRule="exact" w:line="315"/>
        <w:jc w:val="left"/>
      </w:pPr>
    </w:p>
    <w:p>
      <w:pPr>
        <w:wordWrap w:val="off"/>
        <w:spacing w:before="0" w:after="0" w:lineRule="exact" w:line="315"/>
        <w:ind w:firstLineChars="3050"/>
        <w:jc w:val="left"/>
      </w:pPr>
      <w:r>
        <w:rPr>
          <w:rFonts w:ascii="宋体" w:hAnsi="宋体" w:cs="宋体" w:eastAsia="宋体"/>
          <w:color w:val="000000"/>
          <w:sz w:val="21"/>
        </w:rPr>
        <w:t>年  月  日</w:t>
      </w:r>
    </w:p>
    <w:p>
      <w:pPr>
        <w:sectPr>
          <w:pgSz w:w="11907" w:h="16839" w:orient="portrait"/>
          <w:pgMar w:top="1077" w:right="1154" w:bottom="1077" w:left="1154"/>
        </w:sectPr>
      </w:pPr>
    </w:p>
    <w:p>
      <w:pPr>
        <w:wordWrap w:val="off"/>
        <w:spacing w:lineRule="exact" w:line="378"/>
        <w:jc w:val="left"/>
        <w:outlineLvl w:val="1"/>
      </w:pPr>
      <w:r>
        <w:rPr>
          <w:rFonts w:ascii="宋体" w:hAnsi="宋体" w:cs="宋体" w:eastAsia="宋体"/>
          <w:b w:val="true"/>
          <w:color w:val="000000"/>
          <w:sz w:val="21"/>
        </w:rPr>
        <w:t>附件三： 评分索引表</w:t>
      </w:r>
    </w:p>
    <w:p>
      <w:pPr>
        <w:wordWrap w:val="off"/>
        <w:spacing w:before="175" w:after="175"/>
        <w:jc w:val="center"/>
      </w:pPr>
      <w:r>
        <w:rPr>
          <w:rFonts w:ascii="宋体" w:hAnsi="宋体" w:cs="宋体" w:eastAsia="宋体"/>
          <w:b w:val="true"/>
          <w:color w:val="000000"/>
          <w:sz w:val="28"/>
        </w:rPr>
        <w:t>评分索引表</w:t>
      </w:r>
    </w:p>
    <w:tbl>
      <w:tblPr>
        <w:tblW w:w="0" w:type="auto"/>
        <w:tblBorders>
          <w:top w:val="single"/>
          <w:left w:val="single"/>
          <w:bottom w:val="single"/>
          <w:right w:val="single"/>
          <w:insideH w:val="single"/>
          <w:insideV w:val="single"/>
        </w:tblBorders>
      </w:tblPr>
      <w:tblPr>
        <w:tblW w:type="dxa" w:w="9585"/>
        <w:jc w:val="center"/>
        <w:tblBorders>
          <w:top w:val="nil"/>
          <w:left w:val="nil"/>
          <w:bottom w:val="nil"/>
          <w:right w:val="nil"/>
        </w:tblBorders>
      </w:tblPr>
      <w:tr>
        <w:trPr>
          <w:trHeight w:val="870"/>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序号</w:t>
            </w:r>
          </w:p>
        </w:tc>
        <w:tc>
          <w:tcPr>
            <w:tcW w:type="dxa" w:w="1965"/>
            <w:hMerge w:val="restart"/>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评分因素</w:t>
            </w:r>
          </w:p>
        </w:tc>
        <w:tc>
          <w:tcPr>
            <w:hMerge w:val="continue"/>
            <w:tcBorders>
              <w:top w:val="single" w:sz="6"/>
              <w:left w:val="single" w:sz="6"/>
              <w:bottom w:val="nil"/>
              <w:right w:val="nil"/>
            </w:tcBorders>
          </w:tcPr>
          <w:p/>
        </w:tc>
        <w:tc>
          <w:tcPr>
            <w:tcW w:type="dxa" w:w="96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分值</w:t>
            </w:r>
          </w:p>
        </w:tc>
        <w:tc>
          <w:tcPr>
            <w:tcW w:type="dxa" w:w="4575"/>
            <w:hMerge w:val="restart"/>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评分标准</w:t>
            </w: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245"/>
            <w:tcBorders>
              <w:top w:val="single" w:sz="6"/>
              <w:left w:val="single" w:sz="6"/>
              <w:bottom w:val="nil"/>
              <w:right w:val="single" w:sz="6"/>
            </w:tcBorders>
            <w:tcMar>
              <w:top w:w="20" w:type="dxa"/>
              <w:left w:w="20" w:type="dxa"/>
              <w:bottom w:w="20" w:type="dxa"/>
              <w:right w:w="20" w:type="dxa"/>
            </w:tcMar>
            <w:vAlign w:val="center"/>
          </w:tcPr>
          <w:p>
            <w:pPr>
              <w:wordWrap w:val="off"/>
              <w:spacing w:lineRule="exact" w:line="378"/>
              <w:jc w:val="center"/>
            </w:pPr>
            <w:r>
              <w:rPr>
                <w:rFonts w:ascii="宋体" w:hAnsi="宋体" w:cs="宋体" w:eastAsia="宋体"/>
                <w:color w:val="000000"/>
                <w:sz w:val="21"/>
              </w:rPr>
              <w:t>响应</w:t>
            </w:r>
            <w:r>
              <w:rPr>
                <w:rFonts w:ascii="宋体" w:hAnsi="宋体" w:cs="宋体" w:eastAsia="宋体"/>
                <w:color w:val="000000"/>
                <w:sz w:val="21"/>
              </w:rPr>
              <w:t>文件</w:t>
            </w:r>
          </w:p>
          <w:p>
            <w:pPr>
              <w:wordWrap w:val="off"/>
              <w:spacing w:before="0" w:after="0" w:lineRule="exact" w:line="378"/>
              <w:jc w:val="center"/>
            </w:pPr>
            <w:r>
              <w:rPr>
                <w:rFonts w:ascii="宋体" w:hAnsi="宋体" w:cs="宋体" w:eastAsia="宋体"/>
                <w:color w:val="000000"/>
                <w:sz w:val="21"/>
              </w:rPr>
              <w:t>所在页码</w:t>
            </w: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1965"/>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96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4575"/>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245"/>
            <w:tcBorders>
              <w:top w:val="single" w:sz="6"/>
              <w:left w:val="single" w:sz="6"/>
              <w:bottom w:val="nil"/>
              <w:right w:val="single" w:sz="6"/>
            </w:tcBorders>
            <w:tcMar>
              <w:top w:w="20" w:type="dxa"/>
              <w:left w:w="20" w:type="dxa"/>
              <w:bottom w:w="20" w:type="dxa"/>
              <w:right w:w="20" w:type="dxa"/>
            </w:tcMar>
            <w:vAlign w:val="center"/>
          </w:tcPr>
          <w:p>
            <w:pPr>
              <w:wordWrap w:val="off"/>
            </w:p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1965"/>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96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4575"/>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245"/>
            <w:tcBorders>
              <w:top w:val="single" w:sz="6"/>
              <w:left w:val="single" w:sz="6"/>
              <w:bottom w:val="nil"/>
              <w:right w:val="single" w:sz="6"/>
            </w:tcBorders>
            <w:tcMar>
              <w:top w:w="20" w:type="dxa"/>
              <w:left w:w="20" w:type="dxa"/>
              <w:bottom w:w="20" w:type="dxa"/>
              <w:right w:w="20" w:type="dxa"/>
            </w:tcMar>
            <w:vAlign w:val="center"/>
          </w:tcPr>
          <w:p>
            <w:pPr>
              <w:wordWrap w:val="off"/>
            </w:p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1965"/>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96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4575"/>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245"/>
            <w:tcBorders>
              <w:top w:val="single" w:sz="6"/>
              <w:left w:val="single" w:sz="6"/>
              <w:bottom w:val="nil"/>
              <w:right w:val="single" w:sz="6"/>
            </w:tcBorders>
            <w:tcMar>
              <w:top w:w="20" w:type="dxa"/>
              <w:left w:w="20" w:type="dxa"/>
              <w:bottom w:w="20" w:type="dxa"/>
              <w:right w:w="20" w:type="dxa"/>
            </w:tcMar>
            <w:vAlign w:val="center"/>
          </w:tcPr>
          <w:p>
            <w:pPr>
              <w:wordWrap w:val="off"/>
            </w:p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1965"/>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96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4575"/>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245"/>
            <w:tcBorders>
              <w:top w:val="single" w:sz="6"/>
              <w:left w:val="single" w:sz="6"/>
              <w:bottom w:val="nil"/>
              <w:right w:val="single" w:sz="6"/>
            </w:tcBorders>
            <w:tcMar>
              <w:top w:w="20" w:type="dxa"/>
              <w:left w:w="20" w:type="dxa"/>
              <w:bottom w:w="20" w:type="dxa"/>
              <w:right w:w="20" w:type="dxa"/>
            </w:tcMar>
            <w:vAlign w:val="center"/>
          </w:tcPr>
          <w:p>
            <w:pPr>
              <w:wordWrap w:val="off"/>
            </w:p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1965"/>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96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4575"/>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245"/>
            <w:tcBorders>
              <w:top w:val="single" w:sz="6"/>
              <w:left w:val="single" w:sz="6"/>
              <w:bottom w:val="nil"/>
              <w:right w:val="single" w:sz="6"/>
            </w:tcBorders>
            <w:tcMar>
              <w:top w:w="20" w:type="dxa"/>
              <w:left w:w="20" w:type="dxa"/>
              <w:bottom w:w="20" w:type="dxa"/>
              <w:right w:w="20" w:type="dxa"/>
            </w:tcMar>
            <w:vAlign w:val="center"/>
          </w:tcPr>
          <w:p>
            <w:pPr>
              <w:wordWrap w:val="off"/>
            </w:p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1965"/>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96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4575"/>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245"/>
            <w:tcBorders>
              <w:top w:val="single" w:sz="6"/>
              <w:left w:val="single" w:sz="6"/>
              <w:bottom w:val="nil"/>
              <w:right w:val="single" w:sz="6"/>
            </w:tcBorders>
            <w:tcMar>
              <w:top w:w="20" w:type="dxa"/>
              <w:left w:w="20" w:type="dxa"/>
              <w:bottom w:w="20" w:type="dxa"/>
              <w:right w:w="20" w:type="dxa"/>
            </w:tcMar>
            <w:vAlign w:val="center"/>
          </w:tcPr>
          <w:p>
            <w:pPr>
              <w:wordWrap w:val="off"/>
            </w:p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1965"/>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96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4575"/>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245"/>
            <w:tcBorders>
              <w:top w:val="single" w:sz="6"/>
              <w:left w:val="single" w:sz="6"/>
              <w:bottom w:val="nil"/>
              <w:right w:val="single" w:sz="6"/>
            </w:tcBorders>
            <w:tcMar>
              <w:top w:w="20" w:type="dxa"/>
              <w:left w:w="20" w:type="dxa"/>
              <w:bottom w:w="20" w:type="dxa"/>
              <w:right w:w="20" w:type="dxa"/>
            </w:tcMar>
            <w:vAlign w:val="center"/>
          </w:tcPr>
          <w:p>
            <w:pPr>
              <w:wordWrap w:val="off"/>
            </w:p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1965"/>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96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4575"/>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245"/>
            <w:tcBorders>
              <w:top w:val="single" w:sz="6"/>
              <w:left w:val="single" w:sz="6"/>
              <w:bottom w:val="nil"/>
              <w:right w:val="single" w:sz="6"/>
            </w:tcBorders>
            <w:tcMar>
              <w:top w:w="20" w:type="dxa"/>
              <w:left w:w="20" w:type="dxa"/>
              <w:bottom w:w="20" w:type="dxa"/>
              <w:right w:w="20" w:type="dxa"/>
            </w:tcMar>
            <w:vAlign w:val="center"/>
          </w:tcPr>
          <w:p>
            <w:pPr>
              <w:wordWrap w:val="off"/>
            </w:p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1965"/>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96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4575"/>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245"/>
            <w:tcBorders>
              <w:top w:val="single" w:sz="6"/>
              <w:left w:val="single" w:sz="6"/>
              <w:bottom w:val="nil"/>
              <w:right w:val="single" w:sz="6"/>
            </w:tcBorders>
            <w:tcMar>
              <w:top w:w="20" w:type="dxa"/>
              <w:left w:w="20" w:type="dxa"/>
              <w:bottom w:w="20" w:type="dxa"/>
              <w:right w:w="20" w:type="dxa"/>
            </w:tcMar>
            <w:vAlign w:val="center"/>
          </w:tcPr>
          <w:p>
            <w:pPr>
              <w:wordWrap w:val="off"/>
            </w:p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1965"/>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96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4575"/>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245"/>
            <w:tcBorders>
              <w:top w:val="single" w:sz="6"/>
              <w:left w:val="single" w:sz="6"/>
              <w:bottom w:val="nil"/>
              <w:right w:val="single" w:sz="6"/>
            </w:tcBorders>
            <w:tcMar>
              <w:top w:w="20" w:type="dxa"/>
              <w:left w:w="20" w:type="dxa"/>
              <w:bottom w:w="20" w:type="dxa"/>
              <w:right w:w="20" w:type="dxa"/>
            </w:tcMar>
            <w:vAlign w:val="center"/>
          </w:tcPr>
          <w:p>
            <w:pPr>
              <w:wordWrap w:val="off"/>
            </w:p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1965"/>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96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4575"/>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245"/>
            <w:tcBorders>
              <w:top w:val="single" w:sz="6"/>
              <w:left w:val="single" w:sz="6"/>
              <w:bottom w:val="nil"/>
              <w:right w:val="single" w:sz="6"/>
            </w:tcBorders>
            <w:tcMar>
              <w:top w:w="20" w:type="dxa"/>
              <w:left w:w="20" w:type="dxa"/>
              <w:bottom w:w="20" w:type="dxa"/>
              <w:right w:w="20" w:type="dxa"/>
            </w:tcMar>
            <w:vAlign w:val="center"/>
          </w:tcPr>
          <w:p>
            <w:pPr>
              <w:wordWrap w:val="off"/>
            </w:p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1965"/>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96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4575"/>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245"/>
            <w:tcBorders>
              <w:top w:val="single" w:sz="6"/>
              <w:left w:val="single" w:sz="6"/>
              <w:bottom w:val="nil"/>
              <w:right w:val="single" w:sz="6"/>
            </w:tcBorders>
            <w:tcMar>
              <w:top w:w="20" w:type="dxa"/>
              <w:left w:w="20" w:type="dxa"/>
              <w:bottom w:w="20" w:type="dxa"/>
              <w:right w:w="20" w:type="dxa"/>
            </w:tcMar>
            <w:vAlign w:val="center"/>
          </w:tcPr>
          <w:p>
            <w:pPr>
              <w:wordWrap w:val="off"/>
            </w:p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1965"/>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96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4575"/>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245"/>
            <w:tcBorders>
              <w:top w:val="single" w:sz="6"/>
              <w:left w:val="single" w:sz="6"/>
              <w:bottom w:val="nil"/>
              <w:right w:val="single" w:sz="6"/>
            </w:tcBorders>
            <w:tcMar>
              <w:top w:w="20" w:type="dxa"/>
              <w:left w:w="20" w:type="dxa"/>
              <w:bottom w:w="20" w:type="dxa"/>
              <w:right w:w="20" w:type="dxa"/>
            </w:tcMar>
            <w:vAlign w:val="center"/>
          </w:tcPr>
          <w:p>
            <w:pPr>
              <w:wordWrap w:val="off"/>
            </w:p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1965"/>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96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4575"/>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245"/>
            <w:tcBorders>
              <w:top w:val="single" w:sz="6"/>
              <w:left w:val="single" w:sz="6"/>
              <w:bottom w:val="nil"/>
              <w:right w:val="single" w:sz="6"/>
            </w:tcBorders>
            <w:tcMar>
              <w:top w:w="20" w:type="dxa"/>
              <w:left w:w="20" w:type="dxa"/>
              <w:bottom w:w="20" w:type="dxa"/>
              <w:right w:w="20" w:type="dxa"/>
            </w:tcMar>
            <w:vAlign w:val="center"/>
          </w:tcPr>
          <w:p>
            <w:pPr>
              <w:wordWrap w:val="off"/>
            </w:p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1965"/>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96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4575"/>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245"/>
            <w:tcBorders>
              <w:top w:val="single" w:sz="6"/>
              <w:left w:val="single" w:sz="6"/>
              <w:bottom w:val="nil"/>
              <w:right w:val="single" w:sz="6"/>
            </w:tcBorders>
            <w:tcMar>
              <w:top w:w="20" w:type="dxa"/>
              <w:left w:w="20" w:type="dxa"/>
              <w:bottom w:w="20" w:type="dxa"/>
              <w:right w:w="20" w:type="dxa"/>
            </w:tcMar>
            <w:vAlign w:val="center"/>
          </w:tcPr>
          <w:p>
            <w:pPr>
              <w:wordWrap w:val="off"/>
            </w:pPr>
          </w:p>
        </w:tc>
      </w:tr>
      <w:tr>
        <w:trPr>
          <w:trHeight w:val="390" w:hRule="exact"/>
        </w:trPr>
        <w:tc>
          <w:tcPr>
            <w:tcW w:type="dxa" w:w="840"/>
            <w:tcBorders>
              <w:top w:val="single" w:sz="6"/>
              <w:left w:val="nil"/>
              <w:bottom w:val="nil"/>
              <w:right w:val="nil"/>
            </w:tcBorders>
            <w:tcMar>
              <w:top w:w="20" w:type="dxa"/>
              <w:left w:w="20" w:type="dxa"/>
              <w:bottom w:w="20" w:type="dxa"/>
              <w:right w:w="20" w:type="dxa"/>
            </w:tcMar>
            <w:vAlign w:val="center"/>
          </w:tcPr>
          <w:p>
            <w:pPr>
              <w:wordWrap w:val="off"/>
            </w:pPr>
          </w:p>
        </w:tc>
        <w:tc>
          <w:tcPr>
            <w:tcW w:type="dxa" w:w="990"/>
            <w:tcBorders>
              <w:top w:val="single" w:sz="6"/>
              <w:left w:val="nil"/>
              <w:bottom w:val="nil"/>
              <w:right w:val="nil"/>
            </w:tcBorders>
            <w:tcMar>
              <w:top w:w="20" w:type="dxa"/>
              <w:left w:w="20" w:type="dxa"/>
              <w:bottom w:w="20" w:type="dxa"/>
              <w:right w:w="20" w:type="dxa"/>
            </w:tcMar>
            <w:vAlign w:val="center"/>
          </w:tcPr>
          <w:p>
            <w:pPr>
              <w:wordWrap w:val="off"/>
            </w:pPr>
          </w:p>
        </w:tc>
        <w:tc>
          <w:tcPr>
            <w:tcW w:type="dxa" w:w="975"/>
            <w:tcBorders>
              <w:top w:val="single" w:sz="6"/>
              <w:left w:val="nil"/>
              <w:bottom w:val="nil"/>
              <w:right w:val="nil"/>
            </w:tcBorders>
            <w:tcMar>
              <w:top w:w="20" w:type="dxa"/>
              <w:left w:w="20" w:type="dxa"/>
              <w:bottom w:w="20" w:type="dxa"/>
              <w:right w:w="20" w:type="dxa"/>
            </w:tcMar>
            <w:vAlign w:val="center"/>
          </w:tcPr>
          <w:p>
            <w:pPr>
              <w:wordWrap w:val="off"/>
            </w:pPr>
          </w:p>
        </w:tc>
        <w:tc>
          <w:tcPr>
            <w:tcW w:type="dxa" w:w="960"/>
            <w:tcBorders>
              <w:top w:val="single" w:sz="6"/>
              <w:left w:val="nil"/>
              <w:bottom w:val="nil"/>
              <w:right w:val="nil"/>
            </w:tcBorders>
            <w:tcMar>
              <w:top w:w="20" w:type="dxa"/>
              <w:left w:w="20" w:type="dxa"/>
              <w:bottom w:w="20" w:type="dxa"/>
              <w:right w:w="20" w:type="dxa"/>
            </w:tcMar>
            <w:vAlign w:val="center"/>
          </w:tcPr>
          <w:p>
            <w:pPr>
              <w:wordWrap w:val="off"/>
            </w:pPr>
          </w:p>
        </w:tc>
        <w:tc>
          <w:tcPr>
            <w:tcW w:type="dxa" w:w="840"/>
            <w:tcBorders>
              <w:top w:val="single" w:sz="6"/>
              <w:left w:val="nil"/>
              <w:bottom w:val="nil"/>
              <w:right w:val="nil"/>
            </w:tcBorders>
            <w:tcMar>
              <w:top w:w="20" w:type="dxa"/>
              <w:left w:w="20" w:type="dxa"/>
              <w:bottom w:w="20" w:type="dxa"/>
              <w:right w:w="20" w:type="dxa"/>
            </w:tcMar>
            <w:vAlign w:val="center"/>
          </w:tcPr>
          <w:p>
            <w:pPr>
              <w:wordWrap w:val="off"/>
            </w:pPr>
          </w:p>
        </w:tc>
        <w:tc>
          <w:tcPr>
            <w:tcW w:type="dxa" w:w="840"/>
            <w:tcBorders>
              <w:top w:val="single" w:sz="6"/>
              <w:left w:val="nil"/>
              <w:bottom w:val="nil"/>
              <w:right w:val="nil"/>
            </w:tcBorders>
            <w:tcMar>
              <w:top w:w="20" w:type="dxa"/>
              <w:left w:w="20" w:type="dxa"/>
              <w:bottom w:w="20" w:type="dxa"/>
              <w:right w:w="20" w:type="dxa"/>
            </w:tcMar>
            <w:vAlign w:val="center"/>
          </w:tcPr>
          <w:p>
            <w:pPr>
              <w:wordWrap w:val="off"/>
            </w:pPr>
          </w:p>
        </w:tc>
        <w:tc>
          <w:tcPr>
            <w:tcW w:type="dxa" w:w="840"/>
            <w:tcBorders>
              <w:top w:val="single" w:sz="6"/>
              <w:left w:val="nil"/>
              <w:bottom w:val="nil"/>
              <w:right w:val="nil"/>
            </w:tcBorders>
            <w:tcMar>
              <w:top w:w="20" w:type="dxa"/>
              <w:left w:w="20" w:type="dxa"/>
              <w:bottom w:w="20" w:type="dxa"/>
              <w:right w:w="20" w:type="dxa"/>
            </w:tcMar>
            <w:vAlign w:val="center"/>
          </w:tcPr>
          <w:p>
            <w:pPr>
              <w:wordWrap w:val="off"/>
            </w:pPr>
          </w:p>
        </w:tc>
        <w:tc>
          <w:tcPr>
            <w:tcW w:type="dxa" w:w="2055"/>
            <w:tcBorders>
              <w:top w:val="single" w:sz="6"/>
              <w:left w:val="nil"/>
              <w:bottom w:val="nil"/>
              <w:right w:val="nil"/>
            </w:tcBorders>
            <w:tcMar>
              <w:top w:w="20" w:type="dxa"/>
              <w:left w:w="20" w:type="dxa"/>
              <w:bottom w:w="20" w:type="dxa"/>
              <w:right w:w="20" w:type="dxa"/>
            </w:tcMar>
            <w:vAlign w:val="center"/>
          </w:tcPr>
          <w:p>
            <w:pPr>
              <w:wordWrap w:val="off"/>
            </w:pPr>
          </w:p>
        </w:tc>
        <w:tc>
          <w:tcPr>
            <w:tcW w:type="dxa" w:w="1245"/>
            <w:tcBorders>
              <w:top w:val="single" w:sz="6"/>
              <w:left w:val="nil"/>
              <w:bottom w:val="nil"/>
              <w:right w:val="nil"/>
            </w:tcBorders>
            <w:tcMar>
              <w:top w:w="20" w:type="dxa"/>
              <w:left w:w="20" w:type="dxa"/>
              <w:bottom w:w="20" w:type="dxa"/>
              <w:right w:w="20" w:type="dxa"/>
            </w:tcMar>
            <w:vAlign w:val="center"/>
          </w:tcPr>
          <w:p>
            <w:pPr>
              <w:wordWrap w:val="off"/>
            </w:pPr>
          </w:p>
        </w:tc>
      </w:tr>
    </w:tbl>
    <w:p>
      <w:pPr>
        <w:sectPr>
          <w:pgSz w:w="11907" w:h="16839" w:orient="portrait"/>
          <w:pgMar w:top="1077" w:right="1154" w:bottom="1077" w:left="1154"/>
        </w:sectPr>
      </w:pPr>
    </w:p>
    <w:p>
      <w:pPr>
        <w:wordWrap w:val="off"/>
        <w:spacing w:lineRule="exact" w:line="378"/>
        <w:jc w:val="left"/>
        <w:outlineLvl w:val="1"/>
      </w:pPr>
      <w:r>
        <w:rPr>
          <w:rFonts w:ascii="宋体" w:hAnsi="宋体" w:cs="宋体" w:eastAsia="宋体"/>
          <w:b w:val="true"/>
          <w:color w:val="000000"/>
          <w:sz w:val="21"/>
        </w:rPr>
        <w:t>附件四： 竞争性磋商报价表</w:t>
      </w:r>
    </w:p>
    <w:p>
      <w:pPr>
        <w:wordWrap w:val="off"/>
        <w:spacing w:before="175" w:after="175"/>
        <w:jc w:val="center"/>
      </w:pPr>
      <w:r>
        <w:rPr>
          <w:rFonts w:ascii="宋体" w:hAnsi="宋体" w:cs="宋体" w:eastAsia="宋体"/>
          <w:b w:val="true"/>
          <w:color w:val="000000"/>
          <w:sz w:val="28"/>
        </w:rPr>
        <w:t>报价表</w:t>
      </w:r>
    </w:p>
    <w:tbl>
      <w:tblPr>
        <w:tblW w:w="0" w:type="auto"/>
        <w:tblBorders>
          <w:top w:val="single"/>
          <w:left w:val="single"/>
          <w:bottom w:val="single"/>
          <w:right w:val="single"/>
          <w:insideH w:val="single"/>
          <w:insideV w:val="single"/>
        </w:tblBorders>
      </w:tblPr>
      <w:tblPr>
        <w:tblW w:type="dxa" w:w="9870"/>
        <w:jc w:val="left"/>
        <w:tblBorders>
          <w:top w:val="nil"/>
          <w:left w:val="nil"/>
          <w:bottom w:val="nil"/>
          <w:right w:val="nil"/>
        </w:tblBorders>
      </w:tblPr>
      <w:tr>
        <w:trPr>
          <w:trHeight w:val="390"/>
        </w:trPr>
        <w:tc>
          <w:tcPr>
            <w:tcW w:type="dxa" w:w="4860"/>
            <w:tcBorders>
              <w:top w:val="nil"/>
              <w:left w:val="nil"/>
              <w:bottom w:val="nil"/>
              <w:right w:val="nil"/>
            </w:tcBorders>
            <w:tcMar>
              <w:top w:w="20" w:type="dxa"/>
              <w:left w:w="20" w:type="dxa"/>
              <w:bottom w:w="20" w:type="dxa"/>
              <w:right w:w="20" w:type="dxa"/>
            </w:tcMar>
            <w:vAlign w:val="center"/>
          </w:tcPr>
          <w:p>
            <w:pPr>
              <w:wordWrap w:val="off"/>
              <w:spacing w:lineRule="exact" w:line="378"/>
              <w:jc w:val="left"/>
            </w:pPr>
            <w:r>
              <w:rPr>
                <w:rFonts w:ascii="宋体" w:hAnsi="宋体" w:cs="宋体" w:eastAsia="宋体"/>
                <w:color w:val="000000"/>
                <w:sz w:val="21"/>
              </w:rPr>
              <w:t>项目名称：</w:t>
            </w:r>
            <w:r>
              <w:rPr>
                <w:rFonts w:ascii="宋体" w:hAnsi="宋体" w:cs="宋体" w:eastAsia="宋体"/>
                <w:color w:val="000000"/>
                <w:sz w:val="21"/>
              </w:rPr>
              <w:t>信息中心WEB资源发布系统</w:t>
            </w:r>
          </w:p>
        </w:tc>
        <w:tc>
          <w:tcPr>
            <w:tcW w:type="dxa" w:w="1260"/>
            <w:tcBorders>
              <w:top w:val="nil"/>
              <w:left w:val="nil"/>
              <w:bottom w:val="nil"/>
              <w:right w:val="nil"/>
            </w:tcBorders>
            <w:tcMar>
              <w:top w:w="20" w:type="dxa"/>
              <w:left w:w="20" w:type="dxa"/>
              <w:bottom w:w="20" w:type="dxa"/>
              <w:right w:w="20" w:type="dxa"/>
            </w:tcMar>
            <w:vAlign w:val="center"/>
          </w:tcPr>
          <w:p>
            <w:pPr>
              <w:wordWrap w:val="off"/>
            </w:pPr>
          </w:p>
        </w:tc>
        <w:tc>
          <w:tcPr>
            <w:tcW w:type="dxa" w:w="3750"/>
            <w:tcBorders>
              <w:top w:val="nil"/>
              <w:left w:val="nil"/>
              <w:bottom w:val="nil"/>
              <w:right w:val="nil"/>
            </w:tcBorders>
            <w:tcMar>
              <w:top w:w="20" w:type="dxa"/>
              <w:left w:w="20" w:type="dxa"/>
              <w:bottom w:w="20" w:type="dxa"/>
              <w:right w:w="20" w:type="dxa"/>
            </w:tcMar>
            <w:vAlign w:val="center"/>
          </w:tcPr>
          <w:p>
            <w:pPr>
              <w:wordWrap w:val="off"/>
              <w:spacing w:lineRule="exact" w:line="378"/>
              <w:jc w:val="right"/>
            </w:pPr>
            <w:r>
              <w:rPr>
                <w:rFonts w:ascii="宋体" w:hAnsi="宋体" w:cs="宋体" w:eastAsia="宋体"/>
                <w:color w:val="000000"/>
                <w:sz w:val="21"/>
              </w:rPr>
              <w:t>项目编号：</w:t>
            </w:r>
            <w:r>
              <w:rPr>
                <w:rFonts w:ascii="宋体" w:hAnsi="宋体" w:cs="宋体" w:eastAsia="宋体"/>
                <w:color w:val="000000"/>
                <w:sz w:val="21"/>
              </w:rPr>
              <w:t>20250083号</w:t>
            </w:r>
          </w:p>
        </w:tc>
      </w:tr>
    </w:tbl>
    <w:p>
      <w:pPr>
        <w:spacing w:before="0" w:after="0" w:lineRule="exact" w:line="15"/>
      </w:pPr>
    </w:p>
    <w:tbl>
      <w:tblPr>
        <w:tblW w:w="0" w:type="auto"/>
        <w:tblBorders>
          <w:top w:val="single"/>
          <w:left w:val="single"/>
          <w:bottom w:val="single"/>
          <w:right w:val="single"/>
          <w:insideH w:val="single"/>
          <w:insideV w:val="single"/>
        </w:tblBorders>
      </w:tblPr>
      <w:tblPr>
        <w:tblW w:type="dxa" w:w="9600"/>
        <w:jc w:val="center"/>
        <w:tblBorders>
          <w:top w:val="nil"/>
          <w:left w:val="nil"/>
          <w:bottom w:val="nil"/>
          <w:right w:val="nil"/>
        </w:tblBorders>
      </w:tblPr>
      <w:tr>
        <w:trPr>
          <w:trHeight w:val="600"/>
        </w:trPr>
        <w:tc>
          <w:tcPr>
            <w:tcW w:type="dxa" w:w="52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序号</w:t>
            </w:r>
          </w:p>
        </w:tc>
        <w:tc>
          <w:tcPr>
            <w:tcW w:type="dxa" w:w="142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产品名称</w:t>
            </w:r>
          </w:p>
        </w:tc>
        <w:tc>
          <w:tcPr>
            <w:tcW w:type="dxa" w:w="111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规格</w:t>
            </w:r>
          </w:p>
        </w:tc>
        <w:tc>
          <w:tcPr>
            <w:tcW w:type="dxa" w:w="63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数量</w:t>
            </w:r>
          </w:p>
        </w:tc>
        <w:tc>
          <w:tcPr>
            <w:tcW w:type="dxa" w:w="51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单位</w:t>
            </w:r>
          </w:p>
        </w:tc>
        <w:tc>
          <w:tcPr>
            <w:tcW w:type="dxa" w:w="97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产品要求</w:t>
            </w:r>
          </w:p>
        </w:tc>
        <w:tc>
          <w:tcPr>
            <w:tcW w:type="dxa" w:w="540"/>
            <w:tcBorders>
              <w:top w:val="single" w:sz="6"/>
              <w:left w:val="single" w:sz="6"/>
              <w:bottom w:val="nil"/>
              <w:right w:val="nil"/>
            </w:tcBorders>
            <w:tcMar>
              <w:top w:w="20" w:type="dxa"/>
              <w:left w:w="20" w:type="dxa"/>
              <w:bottom w:w="20" w:type="dxa"/>
              <w:right w:w="20" w:type="dxa"/>
            </w:tcMar>
            <w:vAlign w:val="center"/>
          </w:tcPr>
          <w:p>
            <w:pPr>
              <w:wordWrap w:val="off"/>
              <w:spacing w:lineRule="exact" w:line="378"/>
              <w:jc w:val="center"/>
            </w:pPr>
            <w:r>
              <w:rPr>
                <w:rFonts w:ascii="宋体" w:hAnsi="宋体" w:cs="宋体" w:eastAsia="宋体"/>
                <w:color w:val="000000"/>
                <w:sz w:val="21"/>
              </w:rPr>
              <w:t>投标品牌</w:t>
            </w:r>
          </w:p>
        </w:tc>
        <w:tc>
          <w:tcPr>
            <w:tcW w:type="dxa" w:w="96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型号</w:t>
            </w:r>
          </w:p>
        </w:tc>
        <w:tc>
          <w:tcPr>
            <w:tcW w:type="dxa" w:w="97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单价(元)</w:t>
            </w:r>
          </w:p>
        </w:tc>
        <w:tc>
          <w:tcPr>
            <w:tcW w:type="dxa" w:w="97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总价(元)</w:t>
            </w:r>
          </w:p>
        </w:tc>
        <w:tc>
          <w:tcPr>
            <w:tcW w:type="dxa" w:w="975"/>
            <w:tcBorders>
              <w:top w:val="single" w:sz="6"/>
              <w:left w:val="single" w:sz="6"/>
              <w:bottom w:val="nil"/>
              <w:right w:val="single" w:sz="6"/>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备注</w:t>
            </w:r>
          </w:p>
        </w:tc>
      </w:tr>
      <w:tr>
        <w:trPr>
          <w:trHeight w:val="495"/>
        </w:trPr>
        <w:tc>
          <w:tcPr>
            <w:tcW w:type="dxa" w:w="525"/>
            <w:tcBorders>
              <w:top w:val="single" w:sz="6"/>
              <w:left w:val="single" w:sz="6"/>
              <w:bottom w:val="nil"/>
              <w:right w:val="nil"/>
            </w:tcBorders>
            <w:tcMar>
              <w:top w:w="20" w:type="dxa"/>
              <w:left w:w="20" w:type="dxa"/>
              <w:bottom w:w="20" w:type="dxa"/>
              <w:right w:w="20" w:type="dxa"/>
            </w:tcMar>
            <w:vAlign w:val="center"/>
          </w:tcPr>
          <w:p>
            <w:pPr>
              <w:wordWrap w:val="off"/>
              <w:spacing w:lineRule="exact" w:line="378"/>
              <w:jc w:val="center"/>
            </w:pPr>
            <w:r>
              <w:rPr>
                <w:rFonts w:ascii="宋体" w:hAnsi="宋体" w:cs="宋体" w:eastAsia="宋体"/>
                <w:color w:val="000000"/>
                <w:sz w:val="21"/>
              </w:rPr>
              <w:t>1</w:t>
            </w:r>
          </w:p>
        </w:tc>
        <w:tc>
          <w:tcPr>
            <w:tcW w:type="dxa" w:w="1425"/>
            <w:tcBorders>
              <w:top w:val="single" w:sz="6"/>
              <w:left w:val="single" w:sz="6"/>
              <w:bottom w:val="nil"/>
              <w:right w:val="nil"/>
            </w:tcBorders>
            <w:tcMar>
              <w:top w:w="20" w:type="dxa"/>
              <w:left w:w="20" w:type="dxa"/>
              <w:bottom w:w="20" w:type="dxa"/>
              <w:right w:w="20" w:type="dxa"/>
            </w:tcMar>
            <w:vAlign w:val="center"/>
          </w:tcPr>
          <w:p>
            <w:pPr>
              <w:wordWrap w:val="off"/>
              <w:spacing w:lineRule="exact" w:line="378"/>
              <w:jc w:val="left"/>
            </w:pPr>
            <w:r>
              <w:rPr>
                <w:rFonts w:ascii="宋体" w:hAnsi="宋体" w:cs="宋体" w:eastAsia="宋体"/>
                <w:color w:val="000000"/>
                <w:sz w:val="21"/>
              </w:rPr>
              <w:t>WEB资源发布系统</w:t>
            </w:r>
          </w:p>
        </w:tc>
        <w:tc>
          <w:tcPr>
            <w:tcW w:type="dxa" w:w="1110"/>
            <w:tcBorders>
              <w:top w:val="single" w:sz="6"/>
              <w:left w:val="single" w:sz="6"/>
              <w:bottom w:val="nil"/>
              <w:right w:val="nil"/>
            </w:tcBorders>
            <w:tcMar>
              <w:top w:w="20" w:type="dxa"/>
              <w:left w:w="20" w:type="dxa"/>
              <w:bottom w:w="20" w:type="dxa"/>
              <w:right w:w="20" w:type="dxa"/>
            </w:tcMar>
            <w:vAlign w:val="center"/>
          </w:tcPr>
          <w:p>
            <w:pPr>
              <w:wordWrap w:val="off"/>
              <w:spacing w:lineRule="exact" w:line="378"/>
              <w:jc w:val="left"/>
            </w:pPr>
            <w:r>
              <w:rPr>
                <w:rFonts w:ascii="宋体" w:hAnsi="宋体" w:cs="宋体" w:eastAsia="宋体"/>
                <w:color w:val="000000"/>
                <w:sz w:val="21"/>
              </w:rPr>
              <w:t>1. 选型指标: 300个资源发布点，20K并发请求数</w:t>
            </w:r>
          </w:p>
          <w:p>
            <w:pPr>
              <w:wordWrap w:val="off"/>
              <w:spacing w:before="0" w:after="0" w:lineRule="exact" w:line="378"/>
              <w:jc w:val="left"/>
            </w:pPr>
            <w:r>
              <w:rPr>
                <w:rFonts w:ascii="宋体" w:hAnsi="宋体" w:cs="宋体" w:eastAsia="宋体"/>
                <w:color w:val="000000"/>
                <w:sz w:val="21"/>
              </w:rPr>
              <w:t>2. 硬件配置: 2U，双电源，内存32G，存储SSD盘1T，接口8电、4万兆光、1扩展</w:t>
            </w:r>
          </w:p>
          <w:p>
            <w:pPr>
              <w:wordWrap w:val="off"/>
              <w:spacing w:before="0" w:after="0" w:lineRule="exact" w:line="378"/>
              <w:jc w:val="left"/>
            </w:pPr>
            <w:r>
              <w:rPr>
                <w:rFonts w:ascii="宋体" w:hAnsi="宋体" w:cs="宋体" w:eastAsia="宋体"/>
                <w:color w:val="000000"/>
                <w:sz w:val="21"/>
              </w:rPr>
              <w:t>3 实施服务: 设备安装、调试、培训</w:t>
            </w:r>
          </w:p>
          <w:p>
            <w:pPr>
              <w:wordWrap w:val="off"/>
              <w:spacing w:before="0" w:after="0" w:lineRule="exact" w:line="378"/>
              <w:jc w:val="left"/>
            </w:pPr>
            <w:r>
              <w:rPr>
                <w:rFonts w:ascii="宋体" w:hAnsi="宋体" w:cs="宋体" w:eastAsia="宋体"/>
                <w:color w:val="000000"/>
                <w:sz w:val="21"/>
              </w:rPr>
              <w:t>4. 维保和技术支持时长: 3年</w:t>
            </w:r>
          </w:p>
        </w:tc>
        <w:tc>
          <w:tcPr>
            <w:tcW w:type="dxa" w:w="630"/>
            <w:tcBorders>
              <w:top w:val="single" w:sz="6"/>
              <w:left w:val="single" w:sz="6"/>
              <w:bottom w:val="nil"/>
              <w:right w:val="nil"/>
            </w:tcBorders>
            <w:tcMar>
              <w:top w:w="20" w:type="dxa"/>
              <w:left w:w="20" w:type="dxa"/>
              <w:bottom w:w="20" w:type="dxa"/>
              <w:right w:w="20" w:type="dxa"/>
            </w:tcMar>
            <w:vAlign w:val="center"/>
          </w:tcPr>
          <w:p>
            <w:pPr>
              <w:wordWrap w:val="off"/>
              <w:spacing w:lineRule="exact" w:line="378"/>
              <w:jc w:val="center"/>
            </w:pPr>
            <w:r>
              <w:rPr>
                <w:rFonts w:ascii="宋体" w:hAnsi="宋体" w:cs="宋体" w:eastAsia="宋体"/>
                <w:color w:val="000000"/>
                <w:sz w:val="21"/>
              </w:rPr>
              <w:t>2</w:t>
            </w:r>
          </w:p>
        </w:tc>
        <w:tc>
          <w:tcPr>
            <w:tcW w:type="dxa" w:w="510"/>
            <w:tcBorders>
              <w:top w:val="single" w:sz="6"/>
              <w:left w:val="single" w:sz="6"/>
              <w:bottom w:val="nil"/>
              <w:right w:val="nil"/>
            </w:tcBorders>
            <w:tcMar>
              <w:top w:w="20" w:type="dxa"/>
              <w:left w:w="20" w:type="dxa"/>
              <w:bottom w:w="20" w:type="dxa"/>
              <w:right w:w="20" w:type="dxa"/>
            </w:tcMar>
            <w:vAlign w:val="center"/>
          </w:tcPr>
          <w:p>
            <w:pPr>
              <w:wordWrap w:val="off"/>
              <w:spacing w:lineRule="exact" w:line="378"/>
              <w:jc w:val="center"/>
            </w:pPr>
            <w:r>
              <w:rPr>
                <w:rFonts w:ascii="宋体" w:hAnsi="宋体" w:cs="宋体" w:eastAsia="宋体"/>
                <w:color w:val="000000"/>
                <w:sz w:val="21"/>
              </w:rPr>
              <w:t>台</w:t>
            </w:r>
          </w:p>
        </w:tc>
        <w:tc>
          <w:tcPr>
            <w:tcW w:type="dxa" w:w="975"/>
            <w:tcBorders>
              <w:top w:val="single" w:sz="6"/>
              <w:left w:val="single" w:sz="6"/>
              <w:bottom w:val="nil"/>
              <w:right w:val="nil"/>
            </w:tcBorders>
            <w:tcMar>
              <w:top w:w="20" w:type="dxa"/>
              <w:left w:w="20" w:type="dxa"/>
              <w:bottom w:w="20" w:type="dxa"/>
              <w:right w:w="20" w:type="dxa"/>
            </w:tcMar>
            <w:vAlign w:val="center"/>
          </w:tcPr>
          <w:p>
            <w:pPr>
              <w:wordWrap w:val="off"/>
              <w:spacing w:lineRule="exact" w:line="378"/>
              <w:jc w:val="left"/>
            </w:pPr>
            <w:r>
              <w:rPr>
                <w:rFonts w:ascii="宋体" w:hAnsi="宋体" w:cs="宋体" w:eastAsia="宋体"/>
                <w:color w:val="000000"/>
                <w:sz w:val="21"/>
              </w:rPr>
              <w:t>应实现对资源的统一发布与管理，包括灵活的资源访问控制策略管理，资源安全策略管理及相关审计，资源状态实时监控告警，以及基于全量日志的多维度统计分析；支持IPv6，支持v4站点转v6 ，资源管理，证书管理，发布管理。</w:t>
            </w:r>
          </w:p>
        </w:tc>
        <w:tc>
          <w:tcPr>
            <w:tcW w:type="dxa" w:w="5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96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975"/>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975"/>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975"/>
            <w:tcBorders>
              <w:top w:val="single" w:sz="6"/>
              <w:left w:val="single" w:sz="6"/>
              <w:bottom w:val="nil"/>
              <w:right w:val="single" w:sz="6"/>
            </w:tcBorders>
            <w:tcMar>
              <w:top w:w="20" w:type="dxa"/>
              <w:left w:w="20" w:type="dxa"/>
              <w:bottom w:w="20" w:type="dxa"/>
              <w:right w:w="20" w:type="dxa"/>
            </w:tcMar>
            <w:vAlign w:val="center"/>
          </w:tcPr>
          <w:p>
            <w:pPr>
              <w:wordWrap w:val="off"/>
            </w:pPr>
          </w:p>
        </w:tc>
      </w:tr>
      <w:tr>
        <w:trPr>
          <w:trHeight w:val="600"/>
        </w:trPr>
        <w:tc>
          <w:tcPr>
            <w:tcW w:type="dxa" w:w="1950"/>
            <w:hMerge w:val="restart"/>
            <w:tcBorders>
              <w:top w:val="single" w:sz="6"/>
              <w:left w:val="single" w:sz="6"/>
              <w:bottom w:val="nil"/>
              <w:right w:val="nil"/>
            </w:tcBorders>
            <w:tcMar>
              <w:top w:w="20" w:type="dxa"/>
              <w:left w:w="20" w:type="dxa"/>
              <w:bottom w:w="20" w:type="dxa"/>
              <w:right w:w="20" w:type="dxa"/>
            </w:tcMar>
            <w:vAlign w:val="center"/>
          </w:tcPr>
          <w:p>
            <w:pPr>
              <w:wordWrap w:val="off"/>
              <w:spacing w:lineRule="exact" w:line="378"/>
              <w:jc w:val="center"/>
            </w:pPr>
            <w:r>
              <w:rPr>
                <w:rFonts w:ascii="宋体" w:hAnsi="宋体" w:cs="宋体" w:eastAsia="宋体"/>
                <w:color w:val="000000"/>
                <w:sz w:val="21"/>
              </w:rPr>
              <w:t>报价（</w:t>
            </w:r>
            <w:r>
              <w:rPr>
                <w:rFonts w:ascii="宋体" w:hAnsi="宋体" w:cs="宋体" w:eastAsia="宋体"/>
                <w:color w:val="000000"/>
                <w:sz w:val="21"/>
              </w:rPr>
              <w:t>总价</w:t>
            </w:r>
            <w:r>
              <w:rPr>
                <w:rFonts w:ascii="宋体" w:hAnsi="宋体" w:cs="宋体" w:eastAsia="宋体"/>
                <w:color w:val="000000"/>
                <w:sz w:val="21"/>
              </w:rPr>
              <w:t>）</w:t>
            </w:r>
          </w:p>
        </w:tc>
        <w:tc>
          <w:tcPr>
            <w:hMerge w:val="continue"/>
            <w:tcBorders>
              <w:top w:val="single" w:sz="6"/>
              <w:left w:val="single" w:sz="6"/>
              <w:bottom w:val="nil"/>
              <w:right w:val="nil"/>
            </w:tcBorders>
          </w:tcPr>
          <w:p/>
        </w:tc>
        <w:tc>
          <w:tcPr>
            <w:tcW w:type="dxa" w:w="7650"/>
            <w:hMerge w:val="restart"/>
            <w:tcBorders>
              <w:top w:val="single" w:sz="6"/>
              <w:left w:val="single" w:sz="6"/>
              <w:bottom w:val="nil"/>
              <w:right w:val="single" w:sz="6"/>
            </w:tcBorders>
            <w:tcMar>
              <w:top w:w="20" w:type="dxa"/>
              <w:left w:w="20" w:type="dxa"/>
              <w:bottom w:w="20" w:type="dxa"/>
              <w:right w:w="20" w:type="dxa"/>
            </w:tcMar>
            <w:vAlign w:val="center"/>
          </w:tcPr>
          <w:p>
            <w:pPr>
              <w:wordWrap w:val="off"/>
              <w:jc w:val="left"/>
            </w:pPr>
            <w:r>
              <w:rPr>
                <w:rFonts w:ascii="宋体" w:hAnsi="宋体" w:cs="宋体" w:eastAsia="宋体"/>
                <w:color w:val="000000"/>
                <w:sz w:val="21"/>
              </w:rPr>
              <w:t>人民币：大写 __________（￥ __________ 元）</w:t>
            </w: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r>
      <w:tr>
        <w:trPr>
          <w:trHeight w:val="600"/>
        </w:trPr>
        <w:tc>
          <w:tcPr>
            <w:tcW w:type="dxa" w:w="1950"/>
            <w:hMerge w:val="restart"/>
            <w:tcBorders>
              <w:top w:val="single" w:sz="6"/>
              <w:left w:val="single" w:sz="6"/>
              <w:bottom w:val="single" w:sz="6"/>
              <w:right w:val="nil"/>
            </w:tcBorders>
            <w:tcMar>
              <w:top w:w="20" w:type="dxa"/>
              <w:left w:w="20" w:type="dxa"/>
              <w:bottom w:w="20" w:type="dxa"/>
              <w:right w:w="20" w:type="dxa"/>
            </w:tcMar>
            <w:vAlign w:val="center"/>
          </w:tcPr>
          <w:p>
            <w:pPr>
              <w:wordWrap w:val="off"/>
              <w:spacing w:lineRule="exact" w:line="378"/>
              <w:jc w:val="center"/>
            </w:pPr>
            <w:r>
              <w:rPr>
                <w:rFonts w:ascii="宋体" w:hAnsi="宋体" w:cs="宋体" w:eastAsia="宋体"/>
                <w:color w:val="000000"/>
                <w:sz w:val="21"/>
              </w:rPr>
              <w:t>供货期限</w:t>
            </w:r>
          </w:p>
        </w:tc>
        <w:tc>
          <w:tcPr>
            <w:hMerge w:val="continue"/>
            <w:tcBorders>
              <w:top w:val="single" w:sz="6"/>
              <w:left w:val="single" w:sz="6"/>
              <w:bottom w:val="single" w:sz="6"/>
              <w:right w:val="nil"/>
            </w:tcBorders>
          </w:tcPr>
          <w:p/>
        </w:tc>
        <w:tc>
          <w:tcPr>
            <w:tcW w:type="dxa" w:w="7650"/>
            <w:hMerge w:val="restart"/>
            <w:tcBorders>
              <w:top w:val="single" w:sz="6"/>
              <w:left w:val="single" w:sz="6"/>
              <w:bottom w:val="single" w:sz="6"/>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single" w:sz="6"/>
              <w:right w:val="single" w:sz="6"/>
            </w:tcBorders>
          </w:tcPr>
          <w:p/>
        </w:tc>
        <w:tc>
          <w:tcPr>
            <w:hMerge w:val="continue"/>
            <w:tcBorders>
              <w:top w:val="single" w:sz="6"/>
              <w:left w:val="single" w:sz="6"/>
              <w:bottom w:val="single" w:sz="6"/>
              <w:right w:val="single" w:sz="6"/>
            </w:tcBorders>
          </w:tcPr>
          <w:p/>
        </w:tc>
        <w:tc>
          <w:tcPr>
            <w:hMerge w:val="continue"/>
            <w:tcBorders>
              <w:top w:val="single" w:sz="6"/>
              <w:left w:val="single" w:sz="6"/>
              <w:bottom w:val="single" w:sz="6"/>
              <w:right w:val="single" w:sz="6"/>
            </w:tcBorders>
          </w:tcPr>
          <w:p/>
        </w:tc>
        <w:tc>
          <w:tcPr>
            <w:hMerge w:val="continue"/>
            <w:tcBorders>
              <w:top w:val="single" w:sz="6"/>
              <w:left w:val="single" w:sz="6"/>
              <w:bottom w:val="single" w:sz="6"/>
              <w:right w:val="single" w:sz="6"/>
            </w:tcBorders>
          </w:tcPr>
          <w:p/>
        </w:tc>
        <w:tc>
          <w:tcPr>
            <w:hMerge w:val="continue"/>
            <w:tcBorders>
              <w:top w:val="single" w:sz="6"/>
              <w:left w:val="single" w:sz="6"/>
              <w:bottom w:val="single" w:sz="6"/>
              <w:right w:val="single" w:sz="6"/>
            </w:tcBorders>
          </w:tcPr>
          <w:p/>
        </w:tc>
        <w:tc>
          <w:tcPr>
            <w:hMerge w:val="continue"/>
            <w:tcBorders>
              <w:top w:val="single" w:sz="6"/>
              <w:left w:val="single" w:sz="6"/>
              <w:bottom w:val="single" w:sz="6"/>
              <w:right w:val="single" w:sz="6"/>
            </w:tcBorders>
          </w:tcPr>
          <w:p/>
        </w:tc>
        <w:tc>
          <w:tcPr>
            <w:hMerge w:val="continue"/>
            <w:tcBorders>
              <w:top w:val="single" w:sz="6"/>
              <w:left w:val="single" w:sz="6"/>
              <w:bottom w:val="single" w:sz="6"/>
              <w:right w:val="single" w:sz="6"/>
            </w:tcBorders>
          </w:tcPr>
          <w:p/>
        </w:tc>
        <w:tc>
          <w:tcPr>
            <w:hMerge w:val="continue"/>
            <w:tcBorders>
              <w:top w:val="single" w:sz="6"/>
              <w:left w:val="single" w:sz="6"/>
              <w:bottom w:val="single" w:sz="6"/>
              <w:right w:val="single" w:sz="6"/>
            </w:tcBorders>
          </w:tcPr>
          <w:p/>
        </w:tc>
      </w:tr>
    </w:tbl>
    <w:p>
      <w:pPr>
        <w:spacing w:before="0" w:after="0" w:lineRule="exact" w:line="255"/>
      </w:pPr>
    </w:p>
    <w:tbl>
      <w:tblPr>
        <w:tblW w:w="0" w:type="auto"/>
        <w:tblBorders>
          <w:top w:val="single"/>
          <w:left w:val="single"/>
          <w:bottom w:val="single"/>
          <w:right w:val="single"/>
          <w:insideH w:val="single"/>
          <w:insideV w:val="single"/>
        </w:tblBorders>
      </w:tblPr>
      <w:tblPr>
        <w:tblW w:type="dxa" w:w="9870"/>
        <w:jc w:val="left"/>
        <w:tblBorders>
          <w:top w:val="nil"/>
          <w:left w:val="nil"/>
          <w:bottom w:val="nil"/>
          <w:right w:val="nil"/>
        </w:tblBorders>
      </w:tblPr>
      <w:tr>
        <w:trPr>
          <w:trHeight w:val="390"/>
        </w:trPr>
        <w:tc>
          <w:tcPr>
            <w:tcW w:type="dxa" w:w="4860"/>
            <w:tcBorders>
              <w:top w:val="nil"/>
              <w:left w:val="nil"/>
              <w:bottom w:val="nil"/>
              <w:right w:val="nil"/>
            </w:tcBorders>
            <w:tcMar>
              <w:top w:w="20" w:type="dxa"/>
              <w:left w:w="20" w:type="dxa"/>
              <w:bottom w:w="20" w:type="dxa"/>
              <w:right w:w="20" w:type="dxa"/>
            </w:tcMar>
            <w:vAlign w:val="bottom"/>
          </w:tcPr>
          <w:p>
            <w:pPr>
              <w:wordWrap w:val="off"/>
              <w:spacing w:lineRule="exact" w:line="378"/>
              <w:jc w:val="left"/>
            </w:pPr>
            <w:r>
              <w:rPr>
                <w:rFonts w:ascii="宋体" w:hAnsi="宋体" w:cs="宋体" w:eastAsia="宋体"/>
                <w:color w:val="000000"/>
                <w:sz w:val="21"/>
              </w:rPr>
              <w:t>注：</w:t>
            </w:r>
          </w:p>
        </w:tc>
        <w:tc>
          <w:tcPr>
            <w:tcW w:type="dxa" w:w="1260"/>
            <w:tcBorders>
              <w:top w:val="nil"/>
              <w:left w:val="nil"/>
              <w:bottom w:val="nil"/>
              <w:right w:val="nil"/>
            </w:tcBorders>
            <w:tcMar>
              <w:top w:w="20" w:type="dxa"/>
              <w:left w:w="20" w:type="dxa"/>
              <w:bottom w:w="20" w:type="dxa"/>
              <w:right w:w="20" w:type="dxa"/>
            </w:tcMar>
            <w:vAlign w:val="bottom"/>
          </w:tcPr>
          <w:p>
            <w:pPr>
              <w:wordWrap w:val="off"/>
            </w:pPr>
          </w:p>
        </w:tc>
        <w:tc>
          <w:tcPr>
            <w:tcW w:type="dxa" w:w="3750"/>
            <w:tcBorders>
              <w:top w:val="nil"/>
              <w:left w:val="nil"/>
              <w:bottom w:val="nil"/>
              <w:right w:val="nil"/>
            </w:tcBorders>
            <w:tcMar>
              <w:top w:w="20" w:type="dxa"/>
              <w:left w:w="20" w:type="dxa"/>
              <w:bottom w:w="20" w:type="dxa"/>
              <w:right w:w="20" w:type="dxa"/>
            </w:tcMar>
            <w:vAlign w:val="bottom"/>
          </w:tcPr>
          <w:p>
            <w:pPr>
              <w:wordWrap w:val="off"/>
            </w:pPr>
          </w:p>
        </w:tc>
      </w:tr>
    </w:tbl>
    <w:p>
      <w:pPr>
        <w:wordWrap w:val="off"/>
        <w:spacing w:lineRule="exact" w:line="378"/>
        <w:jc w:val="left"/>
      </w:pPr>
    </w:p>
    <w:p>
      <w:pPr>
        <w:spacing w:before="0" w:after="0" w:lineRule="exact" w:line="765"/>
      </w:pPr>
    </w:p>
    <w:tbl>
      <w:tblPr>
        <w:tblW w:w="0" w:type="auto"/>
        <w:tblBorders>
          <w:top w:val="single"/>
          <w:left w:val="single"/>
          <w:bottom w:val="single"/>
          <w:right w:val="single"/>
          <w:insideH w:val="single"/>
          <w:insideV w:val="single"/>
        </w:tblBorders>
      </w:tblPr>
      <w:tblPr>
        <w:tblW w:type="dxa" w:w="9870"/>
        <w:jc w:val="left"/>
        <w:tblBorders>
          <w:top w:val="nil"/>
          <w:left w:val="nil"/>
          <w:bottom w:val="nil"/>
          <w:right w:val="nil"/>
        </w:tblBorders>
      </w:tblPr>
      <w:tr>
        <w:trPr>
          <w:trHeight w:val="390"/>
        </w:trPr>
        <w:tc>
          <w:tcPr>
            <w:tcW w:type="dxa" w:w="4860"/>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1"/>
              </w:rPr>
              <w:t>法定代表人或授权代表（签字）：</w:t>
            </w:r>
          </w:p>
        </w:tc>
        <w:tc>
          <w:tcPr>
            <w:tcW w:type="dxa" w:w="5010"/>
            <w:hMerge w:val="restart"/>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1"/>
              </w:rPr>
              <w:t>供应商名称（公章）：</w:t>
            </w:r>
          </w:p>
        </w:tc>
        <w:tc>
          <w:tcPr>
            <w:hMerge w:val="continue"/>
            <w:tcBorders>
              <w:top w:val="nil"/>
              <w:left w:val="nil"/>
              <w:bottom w:val="nil"/>
              <w:right w:val="nil"/>
            </w:tcBorders>
          </w:tcPr>
          <w:p/>
        </w:tc>
      </w:tr>
      <w:tr>
        <w:trPr>
          <w:trHeight w:val="390"/>
        </w:trPr>
        <w:tc>
          <w:tcPr>
            <w:tcW w:type="dxa" w:w="4860"/>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1"/>
              </w:rPr>
              <w:t xml:space="preserve">联系方式（手机）：  </w:t>
            </w:r>
          </w:p>
        </w:tc>
        <w:tc>
          <w:tcPr>
            <w:tcW w:type="dxa" w:w="5010"/>
            <w:hMerge w:val="restart"/>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1"/>
              </w:rPr>
              <w:t>日期：     年     月    日</w:t>
            </w:r>
          </w:p>
        </w:tc>
        <w:tc>
          <w:tcPr>
            <w:hMerge w:val="continue"/>
            <w:tcBorders>
              <w:top w:val="nil"/>
              <w:left w:val="nil"/>
              <w:bottom w:val="nil"/>
              <w:right w:val="nil"/>
            </w:tcBorders>
          </w:tcPr>
          <w:p/>
        </w:tc>
      </w:tr>
    </w:tbl>
    <w:p>
      <w:pPr>
        <w:spacing w:before="0" w:after="0" w:lineRule="exact" w:line="390"/>
      </w:pPr>
    </w:p>
    <w:p>
      <w:pPr>
        <w:sectPr>
          <w:pgSz w:w="11907" w:h="16839" w:orient="portrait"/>
          <w:pgMar w:top="1077" w:right="1154" w:bottom="1077" w:left="1154"/>
        </w:sectPr>
      </w:pPr>
    </w:p>
    <w:p>
      <w:pPr>
        <w:wordWrap w:val="off"/>
        <w:spacing w:lineRule="exact" w:line="378"/>
        <w:jc w:val="left"/>
        <w:outlineLvl w:val="1"/>
      </w:pPr>
      <w:r>
        <w:rPr>
          <w:rFonts w:ascii="宋体" w:hAnsi="宋体" w:cs="宋体" w:eastAsia="宋体"/>
          <w:b w:val="true"/>
          <w:color w:val="000000"/>
          <w:sz w:val="21"/>
        </w:rPr>
        <w:t>附件五： 商务条款响应及偏离表</w:t>
      </w:r>
    </w:p>
    <w:p>
      <w:pPr>
        <w:wordWrap w:val="off"/>
        <w:spacing w:before="175" w:after="175"/>
        <w:jc w:val="center"/>
      </w:pPr>
      <w:r>
        <w:rPr>
          <w:rFonts w:ascii="宋体" w:hAnsi="宋体" w:cs="宋体" w:eastAsia="宋体"/>
          <w:b w:val="true"/>
          <w:color w:val="000000"/>
          <w:sz w:val="28"/>
        </w:rPr>
        <w:t>商务条款响应及偏离表</w:t>
      </w:r>
    </w:p>
    <w:tbl>
      <w:tblPr>
        <w:tblW w:w="0" w:type="auto"/>
        <w:tblBorders>
          <w:top w:val="single"/>
          <w:left w:val="single"/>
          <w:bottom w:val="single"/>
          <w:right w:val="single"/>
          <w:insideH w:val="single"/>
          <w:insideV w:val="single"/>
        </w:tblBorders>
      </w:tblPr>
      <w:tblPr>
        <w:tblW w:type="dxa" w:w="9585"/>
        <w:jc w:val="center"/>
        <w:tblBorders>
          <w:top w:val="nil"/>
          <w:left w:val="nil"/>
          <w:bottom w:val="nil"/>
          <w:right w:val="nil"/>
        </w:tblBorders>
      </w:tblPr>
      <w:tr>
        <w:trPr>
          <w:trHeight w:val="390"/>
        </w:trPr>
        <w:tc>
          <w:tcPr>
            <w:tcW w:type="dxa" w:w="4890"/>
            <w:hMerge w:val="restart"/>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1"/>
              </w:rPr>
              <w:t>供应商</w:t>
            </w:r>
            <w:r>
              <w:rPr>
                <w:rFonts w:ascii="宋体" w:hAnsi="宋体" w:cs="宋体" w:eastAsia="宋体"/>
                <w:color w:val="000000"/>
                <w:sz w:val="21"/>
              </w:rPr>
              <w:t xml:space="preserve">名称：（盖章）      </w:t>
            </w: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tcW w:type="dxa" w:w="1110"/>
            <w:tcBorders>
              <w:top w:val="nil"/>
              <w:left w:val="nil"/>
              <w:bottom w:val="nil"/>
              <w:right w:val="nil"/>
            </w:tcBorders>
            <w:tcMar>
              <w:top w:w="20" w:type="dxa"/>
              <w:left w:w="20" w:type="dxa"/>
              <w:bottom w:w="20" w:type="dxa"/>
              <w:right w:w="20" w:type="dxa"/>
            </w:tcMar>
            <w:vAlign w:val="center"/>
          </w:tcPr>
          <w:p>
            <w:pPr>
              <w:wordWrap w:val="off"/>
            </w:pPr>
          </w:p>
        </w:tc>
        <w:tc>
          <w:tcPr>
            <w:tcW w:type="dxa" w:w="3585"/>
            <w:hMerge w:val="restart"/>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1"/>
              </w:rPr>
              <w:t>项目编号：</w:t>
            </w:r>
            <w:r>
              <w:rPr>
                <w:rFonts w:ascii="宋体" w:hAnsi="宋体" w:cs="宋体" w:eastAsia="宋体"/>
                <w:color w:val="000000"/>
                <w:sz w:val="21"/>
              </w:rPr>
              <w:t>20250083号</w:t>
            </w: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r>
    </w:tbl>
    <w:p>
      <w:pPr>
        <w:spacing w:before="0" w:after="0" w:lineRule="exact" w:line="75"/>
      </w:pPr>
    </w:p>
    <w:tbl>
      <w:tblPr>
        <w:tblW w:w="0" w:type="auto"/>
        <w:tblBorders>
          <w:top w:val="single"/>
          <w:left w:val="single"/>
          <w:bottom w:val="single"/>
          <w:right w:val="single"/>
          <w:insideH w:val="single"/>
          <w:insideV w:val="single"/>
        </w:tblBorders>
      </w:tblPr>
      <w:tblPr>
        <w:tblW w:type="dxa" w:w="9585"/>
        <w:jc w:val="center"/>
        <w:tblBorders>
          <w:top w:val="nil"/>
          <w:left w:val="nil"/>
          <w:bottom w:val="nil"/>
          <w:right w:val="nil"/>
        </w:tblBorders>
      </w:tblPr>
      <w:tr>
        <w:trPr>
          <w:trHeight w:val="990"/>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序号</w:t>
            </w:r>
          </w:p>
        </w:tc>
        <w:tc>
          <w:tcPr>
            <w:tcW w:type="dxa" w:w="2040"/>
            <w:hMerge w:val="restart"/>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项目</w:t>
            </w:r>
          </w:p>
        </w:tc>
        <w:tc>
          <w:tcPr>
            <w:hMerge w:val="continue"/>
            <w:tcBorders>
              <w:top w:val="single" w:sz="6"/>
              <w:left w:val="single" w:sz="6"/>
              <w:bottom w:val="nil"/>
              <w:right w:val="nil"/>
            </w:tcBorders>
          </w:tcPr>
          <w:p/>
        </w:tc>
        <w:tc>
          <w:tcPr>
            <w:tcW w:type="dxa" w:w="3120"/>
            <w:hMerge w:val="restart"/>
            <w:tcBorders>
              <w:top w:val="single" w:sz="6"/>
              <w:left w:val="single" w:sz="6"/>
              <w:bottom w:val="nil"/>
              <w:right w:val="nil"/>
            </w:tcBorders>
            <w:tcMar>
              <w:top w:w="20" w:type="dxa"/>
              <w:left w:w="20" w:type="dxa"/>
              <w:bottom w:w="20" w:type="dxa"/>
              <w:right w:w="20" w:type="dxa"/>
            </w:tcMar>
            <w:vAlign w:val="center"/>
          </w:tcPr>
          <w:p>
            <w:pPr>
              <w:wordWrap w:val="off"/>
              <w:spacing w:lineRule="exact" w:line="378"/>
              <w:jc w:val="center"/>
            </w:pPr>
            <w:r>
              <w:rPr>
                <w:rFonts w:ascii="宋体" w:hAnsi="宋体" w:cs="宋体" w:eastAsia="宋体"/>
                <w:color w:val="000000"/>
                <w:sz w:val="21"/>
              </w:rPr>
              <w:t>响应</w:t>
            </w:r>
            <w:r>
              <w:rPr>
                <w:rFonts w:ascii="宋体" w:hAnsi="宋体" w:cs="宋体" w:eastAsia="宋体"/>
                <w:color w:val="000000"/>
                <w:sz w:val="21"/>
              </w:rPr>
              <w:t>文件中主要商务条款的描述</w:t>
            </w: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860"/>
            <w:hMerge w:val="restart"/>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偏离情况</w:t>
            </w:r>
          </w:p>
        </w:tc>
        <w:tc>
          <w:tcPr>
            <w:hMerge w:val="continue"/>
            <w:tcBorders>
              <w:top w:val="single" w:sz="6"/>
              <w:left w:val="single" w:sz="6"/>
              <w:bottom w:val="nil"/>
              <w:right w:val="nil"/>
            </w:tcBorders>
          </w:tcPr>
          <w:p/>
        </w:tc>
        <w:tc>
          <w:tcPr>
            <w:tcW w:type="dxa" w:w="1725"/>
            <w:hMerge w:val="restart"/>
            <w:tcBorders>
              <w:top w:val="single" w:sz="6"/>
              <w:left w:val="single" w:sz="6"/>
              <w:bottom w:val="nil"/>
              <w:right w:val="single" w:sz="6"/>
            </w:tcBorders>
            <w:tcMar>
              <w:top w:w="20" w:type="dxa"/>
              <w:left w:w="20" w:type="dxa"/>
              <w:bottom w:w="20" w:type="dxa"/>
              <w:right w:w="20" w:type="dxa"/>
            </w:tcMar>
            <w:vAlign w:val="center"/>
          </w:tcPr>
          <w:p>
            <w:pPr>
              <w:wordWrap w:val="off"/>
              <w:spacing w:lineRule="exact" w:line="378"/>
              <w:jc w:val="center"/>
            </w:pPr>
            <w:r>
              <w:rPr>
                <w:rFonts w:ascii="宋体" w:hAnsi="宋体" w:cs="宋体" w:eastAsia="宋体"/>
                <w:color w:val="000000"/>
                <w:sz w:val="21"/>
              </w:rPr>
              <w:t>供应商</w:t>
            </w:r>
            <w:r>
              <w:rPr>
                <w:rFonts w:ascii="宋体" w:hAnsi="宋体" w:cs="宋体" w:eastAsia="宋体"/>
                <w:color w:val="000000"/>
                <w:sz w:val="21"/>
              </w:rPr>
              <w:t>的承诺或说明</w:t>
            </w:r>
          </w:p>
        </w:tc>
        <w:tc>
          <w:tcPr>
            <w:hMerge w:val="continue"/>
            <w:tcBorders>
              <w:top w:val="single" w:sz="6"/>
              <w:left w:val="single" w:sz="6"/>
              <w:bottom w:val="nil"/>
              <w:right w:val="single" w:sz="6"/>
            </w:tcBorders>
          </w:tc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204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312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86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725"/>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204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312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86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725"/>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204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312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86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725"/>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204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312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86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725"/>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204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312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86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725"/>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204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312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86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725"/>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204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312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86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725"/>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204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312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86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725"/>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204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312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86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725"/>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r>
      <w:tr>
        <w:trPr>
          <w:trHeight w:val="390" w:hRule="exact"/>
        </w:trPr>
        <w:tc>
          <w:tcPr>
            <w:tcW w:type="dxa" w:w="840"/>
            <w:tcBorders>
              <w:top w:val="single" w:sz="6"/>
              <w:left w:val="nil"/>
              <w:bottom w:val="nil"/>
              <w:right w:val="nil"/>
            </w:tcBorders>
            <w:tcMar>
              <w:top w:w="20" w:type="dxa"/>
              <w:left w:w="20" w:type="dxa"/>
              <w:bottom w:w="20" w:type="dxa"/>
              <w:right w:w="20" w:type="dxa"/>
            </w:tcMar>
            <w:vAlign w:val="center"/>
          </w:tcPr>
          <w:p>
            <w:pPr>
              <w:wordWrap w:val="off"/>
            </w:pPr>
          </w:p>
        </w:tc>
        <w:tc>
          <w:tcPr>
            <w:tcW w:type="dxa" w:w="750"/>
            <w:tcBorders>
              <w:top w:val="single" w:sz="6"/>
              <w:left w:val="nil"/>
              <w:bottom w:val="nil"/>
              <w:right w:val="nil"/>
            </w:tcBorders>
            <w:tcMar>
              <w:top w:w="20" w:type="dxa"/>
              <w:left w:w="20" w:type="dxa"/>
              <w:bottom w:w="20" w:type="dxa"/>
              <w:right w:w="20" w:type="dxa"/>
            </w:tcMar>
            <w:vAlign w:val="center"/>
          </w:tcPr>
          <w:p>
            <w:pPr>
              <w:wordWrap w:val="off"/>
            </w:pPr>
          </w:p>
        </w:tc>
        <w:tc>
          <w:tcPr>
            <w:tcW w:type="dxa" w:w="1290"/>
            <w:tcBorders>
              <w:top w:val="single" w:sz="6"/>
              <w:left w:val="nil"/>
              <w:bottom w:val="nil"/>
              <w:right w:val="nil"/>
            </w:tcBorders>
            <w:tcMar>
              <w:top w:w="20" w:type="dxa"/>
              <w:left w:w="20" w:type="dxa"/>
              <w:bottom w:w="20" w:type="dxa"/>
              <w:right w:w="20" w:type="dxa"/>
            </w:tcMar>
            <w:vAlign w:val="center"/>
          </w:tcPr>
          <w:p>
            <w:pPr>
              <w:wordWrap w:val="off"/>
            </w:pPr>
          </w:p>
        </w:tc>
        <w:tc>
          <w:tcPr>
            <w:tcW w:type="dxa" w:w="1170"/>
            <w:tcBorders>
              <w:top w:val="single" w:sz="6"/>
              <w:left w:val="nil"/>
              <w:bottom w:val="nil"/>
              <w:right w:val="nil"/>
            </w:tcBorders>
            <w:tcMar>
              <w:top w:w="20" w:type="dxa"/>
              <w:left w:w="20" w:type="dxa"/>
              <w:bottom w:w="20" w:type="dxa"/>
              <w:right w:w="20" w:type="dxa"/>
            </w:tcMar>
            <w:vAlign w:val="center"/>
          </w:tcPr>
          <w:p>
            <w:pPr>
              <w:wordWrap w:val="off"/>
            </w:pPr>
          </w:p>
        </w:tc>
        <w:tc>
          <w:tcPr>
            <w:tcW w:type="dxa" w:w="840"/>
            <w:tcBorders>
              <w:top w:val="single" w:sz="6"/>
              <w:left w:val="nil"/>
              <w:bottom w:val="nil"/>
              <w:right w:val="nil"/>
            </w:tcBorders>
            <w:tcMar>
              <w:top w:w="20" w:type="dxa"/>
              <w:left w:w="20" w:type="dxa"/>
              <w:bottom w:w="20" w:type="dxa"/>
              <w:right w:w="20" w:type="dxa"/>
            </w:tcMar>
            <w:vAlign w:val="center"/>
          </w:tcPr>
          <w:p>
            <w:pPr>
              <w:wordWrap w:val="off"/>
            </w:pPr>
          </w:p>
        </w:tc>
        <w:tc>
          <w:tcPr>
            <w:tcW w:type="dxa" w:w="1110"/>
            <w:tcBorders>
              <w:top w:val="single" w:sz="6"/>
              <w:left w:val="nil"/>
              <w:bottom w:val="nil"/>
              <w:right w:val="nil"/>
            </w:tcBorders>
            <w:tcMar>
              <w:top w:w="20" w:type="dxa"/>
              <w:left w:w="20" w:type="dxa"/>
              <w:bottom w:w="20" w:type="dxa"/>
              <w:right w:w="20" w:type="dxa"/>
            </w:tcMar>
            <w:vAlign w:val="center"/>
          </w:tcPr>
          <w:p>
            <w:pPr>
              <w:wordWrap w:val="off"/>
            </w:pPr>
          </w:p>
        </w:tc>
        <w:tc>
          <w:tcPr>
            <w:tcW w:type="dxa" w:w="1020"/>
            <w:tcBorders>
              <w:top w:val="single" w:sz="6"/>
              <w:left w:val="nil"/>
              <w:bottom w:val="nil"/>
              <w:right w:val="nil"/>
            </w:tcBorders>
            <w:tcMar>
              <w:top w:w="20" w:type="dxa"/>
              <w:left w:w="20" w:type="dxa"/>
              <w:bottom w:w="20" w:type="dxa"/>
              <w:right w:w="20" w:type="dxa"/>
            </w:tcMar>
            <w:vAlign w:val="center"/>
          </w:tcPr>
          <w:p>
            <w:pPr>
              <w:wordWrap w:val="off"/>
            </w:pPr>
          </w:p>
        </w:tc>
        <w:tc>
          <w:tcPr>
            <w:tcW w:type="dxa" w:w="840"/>
            <w:tcBorders>
              <w:top w:val="single" w:sz="6"/>
              <w:left w:val="nil"/>
              <w:bottom w:val="nil"/>
              <w:right w:val="nil"/>
            </w:tcBorders>
            <w:tcMar>
              <w:top w:w="20" w:type="dxa"/>
              <w:left w:w="20" w:type="dxa"/>
              <w:bottom w:w="20" w:type="dxa"/>
              <w:right w:w="20" w:type="dxa"/>
            </w:tcMar>
            <w:vAlign w:val="center"/>
          </w:tcPr>
          <w:p>
            <w:pPr>
              <w:wordWrap w:val="off"/>
            </w:pPr>
          </w:p>
        </w:tc>
        <w:tc>
          <w:tcPr>
            <w:tcW w:type="dxa" w:w="1005"/>
            <w:tcBorders>
              <w:top w:val="single" w:sz="6"/>
              <w:left w:val="nil"/>
              <w:bottom w:val="nil"/>
              <w:right w:val="nil"/>
            </w:tcBorders>
            <w:tcMar>
              <w:top w:w="20" w:type="dxa"/>
              <w:left w:w="20" w:type="dxa"/>
              <w:bottom w:w="20" w:type="dxa"/>
              <w:right w:w="20" w:type="dxa"/>
            </w:tcMar>
            <w:vAlign w:val="center"/>
          </w:tcPr>
          <w:p>
            <w:pPr>
              <w:wordWrap w:val="off"/>
            </w:pPr>
          </w:p>
        </w:tc>
        <w:tc>
          <w:tcPr>
            <w:tcW w:type="dxa" w:w="720"/>
            <w:tcBorders>
              <w:top w:val="single" w:sz="6"/>
              <w:left w:val="nil"/>
              <w:bottom w:val="nil"/>
              <w:right w:val="nil"/>
            </w:tcBorders>
            <w:tcMar>
              <w:top w:w="20" w:type="dxa"/>
              <w:left w:w="20" w:type="dxa"/>
              <w:bottom w:w="20" w:type="dxa"/>
              <w:right w:w="20" w:type="dxa"/>
            </w:tcMar>
            <w:vAlign w:val="center"/>
          </w:tcPr>
          <w:p>
            <w:pPr>
              <w:wordWrap w:val="off"/>
            </w:pPr>
          </w:p>
        </w:tc>
      </w:tr>
      <w:tr>
        <w:trPr>
          <w:trHeight w:val="390"/>
        </w:trPr>
        <w:tc>
          <w:tcPr>
            <w:tcW w:type="dxa" w:w="6000"/>
            <w:hMerge w:val="restart"/>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1"/>
              </w:rPr>
              <w:t>法定代表人（授权代表）签字：</w:t>
            </w: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tcW w:type="dxa" w:w="3585"/>
            <w:hMerge w:val="restart"/>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1"/>
              </w:rPr>
              <w:t>日期：     年     月    日</w:t>
            </w: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r>
    </w:tbl>
    <w:p>
      <w:pPr>
        <w:spacing w:before="0" w:after="0" w:lineRule="exact" w:line="390"/>
      </w:pPr>
    </w:p>
    <w:p>
      <w:pPr>
        <w:wordWrap w:val="off"/>
        <w:spacing w:lineRule="exact" w:line="378"/>
        <w:jc w:val="left"/>
      </w:pPr>
      <w:r>
        <w:rPr>
          <w:rFonts w:ascii="宋体" w:hAnsi="宋体" w:cs="宋体" w:eastAsia="宋体"/>
          <w:color w:val="000000"/>
          <w:sz w:val="21"/>
        </w:rPr>
        <w:t>注：1、此表为表样，行数可自行添加，但表式不变；</w:t>
      </w:r>
    </w:p>
    <w:p>
      <w:pPr>
        <w:wordWrap w:val="off"/>
        <w:spacing w:before="0" w:after="0" w:lineRule="exact" w:line="378"/>
        <w:ind w:firstLineChars="200"/>
        <w:jc w:val="left"/>
      </w:pPr>
      <w:r>
        <w:rPr>
          <w:rFonts w:ascii="宋体" w:hAnsi="宋体" w:cs="宋体" w:eastAsia="宋体"/>
          <w:color w:val="000000"/>
          <w:sz w:val="21"/>
        </w:rPr>
        <w:t>2、投标单位根据项目添加的服务承诺、培训等也请列出；</w:t>
      </w:r>
    </w:p>
    <w:p>
      <w:pPr>
        <w:wordWrap w:val="off"/>
        <w:spacing w:before="0" w:after="0" w:lineRule="exact" w:line="378"/>
        <w:ind w:firstLineChars="200"/>
        <w:jc w:val="left"/>
      </w:pPr>
      <w:r>
        <w:rPr>
          <w:rFonts w:ascii="宋体" w:hAnsi="宋体" w:cs="宋体" w:eastAsia="宋体"/>
          <w:color w:val="000000"/>
          <w:sz w:val="21"/>
        </w:rPr>
        <w:t>3、是否偏离用符号“+、=、-”分别表示正偏离、完全响应、负偏离；</w:t>
      </w:r>
    </w:p>
    <w:p>
      <w:pPr>
        <w:wordWrap w:val="off"/>
        <w:spacing w:before="0" w:after="0" w:lineRule="exact" w:line="378"/>
        <w:ind w:firstLineChars="200"/>
        <w:jc w:val="left"/>
      </w:pPr>
      <w:r>
        <w:rPr>
          <w:rFonts w:ascii="宋体" w:hAnsi="宋体" w:cs="宋体" w:eastAsia="宋体"/>
          <w:color w:val="000000"/>
          <w:sz w:val="21"/>
        </w:rPr>
        <w:t>4、</w:t>
      </w:r>
      <w:r>
        <w:rPr>
          <w:rFonts w:ascii="宋体" w:hAnsi="宋体" w:cs="宋体" w:eastAsia="宋体"/>
          <w:color w:val="000000"/>
          <w:sz w:val="21"/>
        </w:rPr>
        <w:t>供应商</w:t>
      </w:r>
      <w:r>
        <w:rPr>
          <w:rFonts w:ascii="宋体" w:hAnsi="宋体" w:cs="宋体" w:eastAsia="宋体"/>
          <w:color w:val="000000"/>
          <w:sz w:val="21"/>
        </w:rPr>
        <w:t>必须仔细阅读采购文件中所有商务条款和相关服务要求，并对所有商务条款和服务要求偏离的条目列入上表。</w:t>
      </w:r>
      <w:r>
        <w:rPr>
          <w:rFonts w:ascii="宋体" w:hAnsi="宋体" w:cs="宋体" w:eastAsia="宋体"/>
          <w:color w:val="000000"/>
          <w:sz w:val="21"/>
        </w:rPr>
        <w:t>供应商</w:t>
      </w:r>
      <w:r>
        <w:rPr>
          <w:rFonts w:ascii="宋体" w:hAnsi="宋体" w:cs="宋体" w:eastAsia="宋体"/>
          <w:color w:val="000000"/>
          <w:sz w:val="21"/>
        </w:rPr>
        <w:t>必须根据所将提供服务的实际情况如实填写，评委会如发现有虚假描述的，该</w:t>
      </w:r>
      <w:r>
        <w:rPr>
          <w:rFonts w:ascii="宋体" w:hAnsi="宋体" w:cs="宋体" w:eastAsia="宋体"/>
          <w:color w:val="000000"/>
          <w:sz w:val="21"/>
        </w:rPr>
        <w:t>响应</w:t>
      </w:r>
      <w:r>
        <w:rPr>
          <w:rFonts w:ascii="宋体" w:hAnsi="宋体" w:cs="宋体" w:eastAsia="宋体"/>
          <w:color w:val="000000"/>
          <w:sz w:val="21"/>
        </w:rPr>
        <w:t>文件视为无效。</w:t>
      </w:r>
    </w:p>
    <w:p>
      <w:pPr>
        <w:sectPr>
          <w:pgSz w:w="11907" w:h="16839" w:orient="portrait"/>
          <w:pgMar w:top="1077" w:right="1154" w:bottom="1077" w:left="1154"/>
        </w:sectPr>
      </w:pPr>
    </w:p>
    <w:p>
      <w:pPr>
        <w:wordWrap w:val="off"/>
        <w:spacing w:lineRule="exact" w:line="378"/>
        <w:jc w:val="left"/>
        <w:outlineLvl w:val="1"/>
      </w:pPr>
      <w:r>
        <w:rPr>
          <w:rFonts w:ascii="宋体" w:hAnsi="宋体" w:cs="宋体" w:eastAsia="宋体"/>
          <w:b w:val="true"/>
          <w:color w:val="000000"/>
          <w:sz w:val="21"/>
        </w:rPr>
        <w:t>附件六： 技术参数响应及偏离表</w:t>
      </w:r>
    </w:p>
    <w:p>
      <w:pPr>
        <w:wordWrap w:val="off"/>
        <w:spacing w:before="175" w:after="175"/>
        <w:jc w:val="center"/>
      </w:pPr>
      <w:r>
        <w:rPr>
          <w:rFonts w:ascii="宋体" w:hAnsi="宋体" w:cs="宋体" w:eastAsia="宋体"/>
          <w:b w:val="true"/>
          <w:color w:val="000000"/>
          <w:sz w:val="28"/>
        </w:rPr>
        <w:t>技术参数响应及偏离表</w:t>
      </w:r>
    </w:p>
    <w:tbl>
      <w:tblPr>
        <w:tblW w:w="0" w:type="auto"/>
        <w:tblBorders>
          <w:top w:val="single"/>
          <w:left w:val="single"/>
          <w:bottom w:val="single"/>
          <w:right w:val="single"/>
          <w:insideH w:val="single"/>
          <w:insideV w:val="single"/>
        </w:tblBorders>
      </w:tblPr>
      <w:tblPr>
        <w:tblW w:type="dxa" w:w="9585"/>
        <w:jc w:val="center"/>
        <w:tblBorders>
          <w:top w:val="nil"/>
          <w:left w:val="nil"/>
          <w:bottom w:val="nil"/>
          <w:right w:val="nil"/>
        </w:tblBorders>
      </w:tblPr>
      <w:tr>
        <w:trPr>
          <w:trHeight w:val="390"/>
        </w:trPr>
        <w:tc>
          <w:tcPr>
            <w:tcW w:type="dxa" w:w="4890"/>
            <w:hMerge w:val="restart"/>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1"/>
              </w:rPr>
              <w:t>供应商</w:t>
            </w:r>
            <w:r>
              <w:rPr>
                <w:rFonts w:ascii="宋体" w:hAnsi="宋体" w:cs="宋体" w:eastAsia="宋体"/>
                <w:color w:val="000000"/>
                <w:sz w:val="21"/>
              </w:rPr>
              <w:t>名称：（盖章）</w:t>
            </w: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tcW w:type="dxa" w:w="1110"/>
            <w:tcBorders>
              <w:top w:val="nil"/>
              <w:left w:val="nil"/>
              <w:bottom w:val="nil"/>
              <w:right w:val="nil"/>
            </w:tcBorders>
            <w:tcMar>
              <w:top w:w="20" w:type="dxa"/>
              <w:left w:w="20" w:type="dxa"/>
              <w:bottom w:w="20" w:type="dxa"/>
              <w:right w:w="20" w:type="dxa"/>
            </w:tcMar>
            <w:vAlign w:val="center"/>
          </w:tcPr>
          <w:p>
            <w:pPr>
              <w:wordWrap w:val="off"/>
            </w:pPr>
          </w:p>
        </w:tc>
        <w:tc>
          <w:tcPr>
            <w:tcW w:type="dxa" w:w="3585"/>
            <w:hMerge w:val="restart"/>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1"/>
              </w:rPr>
              <w:t>项目编号：</w:t>
            </w:r>
            <w:r>
              <w:rPr>
                <w:rFonts w:ascii="宋体" w:hAnsi="宋体" w:cs="宋体" w:eastAsia="宋体"/>
                <w:color w:val="000000"/>
                <w:sz w:val="21"/>
              </w:rPr>
              <w:t>20250083号</w:t>
            </w: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r>
    </w:tbl>
    <w:p>
      <w:pPr>
        <w:spacing w:before="0" w:after="0" w:lineRule="exact" w:line="390"/>
      </w:pPr>
    </w:p>
    <w:tbl>
      <w:tblPr>
        <w:tblW w:w="0" w:type="auto"/>
        <w:tblBorders>
          <w:top w:val="single"/>
          <w:left w:val="single"/>
          <w:bottom w:val="single"/>
          <w:right w:val="single"/>
          <w:insideH w:val="single"/>
          <w:insideV w:val="single"/>
        </w:tblBorders>
      </w:tblPr>
      <w:tblPr>
        <w:tblW w:type="dxa" w:w="9585"/>
        <w:jc w:val="center"/>
        <w:tblBorders>
          <w:top w:val="nil"/>
          <w:left w:val="nil"/>
          <w:bottom w:val="nil"/>
          <w:right w:val="nil"/>
        </w:tblBorders>
      </w:tblPr>
      <w:tr>
        <w:trPr>
          <w:trHeight w:val="990"/>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序号</w:t>
            </w:r>
          </w:p>
        </w:tc>
        <w:tc>
          <w:tcPr>
            <w:tcW w:type="dxa" w:w="3210"/>
            <w:hMerge w:val="restart"/>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响应</w:t>
            </w:r>
            <w:r>
              <w:rPr>
                <w:rFonts w:ascii="宋体" w:hAnsi="宋体" w:cs="宋体" w:eastAsia="宋体"/>
                <w:color w:val="000000"/>
                <w:sz w:val="21"/>
              </w:rPr>
              <w:t>文件要求</w:t>
            </w: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950"/>
            <w:hMerge w:val="restart"/>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供应商</w:t>
            </w:r>
            <w:r>
              <w:rPr>
                <w:rFonts w:ascii="宋体" w:hAnsi="宋体" w:cs="宋体" w:eastAsia="宋体"/>
                <w:color w:val="000000"/>
                <w:sz w:val="21"/>
              </w:rPr>
              <w:t>响应</w:t>
            </w:r>
          </w:p>
        </w:tc>
        <w:tc>
          <w:tcPr>
            <w:hMerge w:val="continue"/>
            <w:tcBorders>
              <w:top w:val="single" w:sz="6"/>
              <w:left w:val="single" w:sz="6"/>
              <w:bottom w:val="nil"/>
              <w:right w:val="nil"/>
            </w:tcBorders>
          </w:tcPr>
          <w:p/>
        </w:tc>
        <w:tc>
          <w:tcPr>
            <w:tcW w:type="dxa" w:w="1860"/>
            <w:hMerge w:val="restart"/>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偏离情况</w:t>
            </w:r>
          </w:p>
        </w:tc>
        <w:tc>
          <w:tcPr>
            <w:hMerge w:val="continue"/>
            <w:tcBorders>
              <w:top w:val="single" w:sz="6"/>
              <w:left w:val="single" w:sz="6"/>
              <w:bottom w:val="nil"/>
              <w:right w:val="nil"/>
            </w:tcBorders>
          </w:tcPr>
          <w:p/>
        </w:tc>
        <w:tc>
          <w:tcPr>
            <w:tcW w:type="dxa" w:w="1725"/>
            <w:hMerge w:val="restart"/>
            <w:tcBorders>
              <w:top w:val="single" w:sz="6"/>
              <w:left w:val="single" w:sz="6"/>
              <w:bottom w:val="nil"/>
              <w:right w:val="single" w:sz="6"/>
            </w:tcBorders>
            <w:tcMar>
              <w:top w:w="20" w:type="dxa"/>
              <w:left w:w="20" w:type="dxa"/>
              <w:bottom w:w="20" w:type="dxa"/>
              <w:right w:w="20" w:type="dxa"/>
            </w:tcMar>
            <w:vAlign w:val="center"/>
          </w:tcPr>
          <w:p>
            <w:pPr>
              <w:wordWrap w:val="off"/>
              <w:spacing w:lineRule="exact" w:line="378"/>
              <w:jc w:val="center"/>
            </w:pPr>
            <w:r>
              <w:rPr>
                <w:rFonts w:ascii="宋体" w:hAnsi="宋体" w:cs="宋体" w:eastAsia="宋体"/>
                <w:color w:val="000000"/>
                <w:sz w:val="21"/>
              </w:rPr>
              <w:t>供应商</w:t>
            </w:r>
            <w:r>
              <w:rPr>
                <w:rFonts w:ascii="宋体" w:hAnsi="宋体" w:cs="宋体" w:eastAsia="宋体"/>
                <w:color w:val="000000"/>
                <w:sz w:val="21"/>
              </w:rPr>
              <w:t>的承诺或说明</w:t>
            </w:r>
          </w:p>
        </w:tc>
        <w:tc>
          <w:tcPr>
            <w:hMerge w:val="continue"/>
            <w:tcBorders>
              <w:top w:val="single" w:sz="6"/>
              <w:left w:val="single" w:sz="6"/>
              <w:bottom w:val="nil"/>
              <w:right w:val="single" w:sz="6"/>
            </w:tcBorders>
          </w:tc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321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95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86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725"/>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321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95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86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725"/>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321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95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86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725"/>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321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95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86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725"/>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321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95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86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725"/>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321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95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86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725"/>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321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95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86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725"/>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321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95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86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725"/>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321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95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86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725"/>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r>
      <w:tr>
        <w:trPr>
          <w:trHeight w:val="390" w:hRule="exact"/>
        </w:trPr>
        <w:tc>
          <w:tcPr>
            <w:tcW w:type="dxa" w:w="840"/>
            <w:tcBorders>
              <w:top w:val="single" w:sz="6"/>
              <w:left w:val="nil"/>
              <w:bottom w:val="nil"/>
              <w:right w:val="nil"/>
            </w:tcBorders>
            <w:tcMar>
              <w:top w:w="20" w:type="dxa"/>
              <w:left w:w="20" w:type="dxa"/>
              <w:bottom w:w="20" w:type="dxa"/>
              <w:right w:w="20" w:type="dxa"/>
            </w:tcMar>
            <w:vAlign w:val="center"/>
          </w:tcPr>
          <w:p>
            <w:pPr>
              <w:wordWrap w:val="off"/>
            </w:pPr>
          </w:p>
        </w:tc>
        <w:tc>
          <w:tcPr>
            <w:tcW w:type="dxa" w:w="750"/>
            <w:tcBorders>
              <w:top w:val="single" w:sz="6"/>
              <w:left w:val="nil"/>
              <w:bottom w:val="nil"/>
              <w:right w:val="nil"/>
            </w:tcBorders>
            <w:tcMar>
              <w:top w:w="20" w:type="dxa"/>
              <w:left w:w="20" w:type="dxa"/>
              <w:bottom w:w="20" w:type="dxa"/>
              <w:right w:w="20" w:type="dxa"/>
            </w:tcMar>
            <w:vAlign w:val="center"/>
          </w:tcPr>
          <w:p>
            <w:pPr>
              <w:wordWrap w:val="off"/>
            </w:pPr>
          </w:p>
        </w:tc>
        <w:tc>
          <w:tcPr>
            <w:tcW w:type="dxa" w:w="1290"/>
            <w:tcBorders>
              <w:top w:val="single" w:sz="6"/>
              <w:left w:val="nil"/>
              <w:bottom w:val="nil"/>
              <w:right w:val="nil"/>
            </w:tcBorders>
            <w:tcMar>
              <w:top w:w="20" w:type="dxa"/>
              <w:left w:w="20" w:type="dxa"/>
              <w:bottom w:w="20" w:type="dxa"/>
              <w:right w:w="20" w:type="dxa"/>
            </w:tcMar>
            <w:vAlign w:val="center"/>
          </w:tcPr>
          <w:p>
            <w:pPr>
              <w:wordWrap w:val="off"/>
            </w:pPr>
          </w:p>
        </w:tc>
        <w:tc>
          <w:tcPr>
            <w:tcW w:type="dxa" w:w="1170"/>
            <w:tcBorders>
              <w:top w:val="single" w:sz="6"/>
              <w:left w:val="nil"/>
              <w:bottom w:val="nil"/>
              <w:right w:val="nil"/>
            </w:tcBorders>
            <w:tcMar>
              <w:top w:w="20" w:type="dxa"/>
              <w:left w:w="20" w:type="dxa"/>
              <w:bottom w:w="20" w:type="dxa"/>
              <w:right w:w="20" w:type="dxa"/>
            </w:tcMar>
            <w:vAlign w:val="center"/>
          </w:tcPr>
          <w:p>
            <w:pPr>
              <w:wordWrap w:val="off"/>
            </w:pPr>
          </w:p>
        </w:tc>
        <w:tc>
          <w:tcPr>
            <w:tcW w:type="dxa" w:w="840"/>
            <w:tcBorders>
              <w:top w:val="single" w:sz="6"/>
              <w:left w:val="nil"/>
              <w:bottom w:val="nil"/>
              <w:right w:val="nil"/>
            </w:tcBorders>
            <w:tcMar>
              <w:top w:w="20" w:type="dxa"/>
              <w:left w:w="20" w:type="dxa"/>
              <w:bottom w:w="20" w:type="dxa"/>
              <w:right w:w="20" w:type="dxa"/>
            </w:tcMar>
            <w:vAlign w:val="center"/>
          </w:tcPr>
          <w:p>
            <w:pPr>
              <w:wordWrap w:val="off"/>
            </w:pPr>
          </w:p>
        </w:tc>
        <w:tc>
          <w:tcPr>
            <w:tcW w:type="dxa" w:w="1110"/>
            <w:tcBorders>
              <w:top w:val="single" w:sz="6"/>
              <w:left w:val="nil"/>
              <w:bottom w:val="nil"/>
              <w:right w:val="nil"/>
            </w:tcBorders>
            <w:tcMar>
              <w:top w:w="20" w:type="dxa"/>
              <w:left w:w="20" w:type="dxa"/>
              <w:bottom w:w="20" w:type="dxa"/>
              <w:right w:w="20" w:type="dxa"/>
            </w:tcMar>
            <w:vAlign w:val="center"/>
          </w:tcPr>
          <w:p>
            <w:pPr>
              <w:wordWrap w:val="off"/>
            </w:pPr>
          </w:p>
        </w:tc>
        <w:tc>
          <w:tcPr>
            <w:tcW w:type="dxa" w:w="1020"/>
            <w:tcBorders>
              <w:top w:val="single" w:sz="6"/>
              <w:left w:val="nil"/>
              <w:bottom w:val="nil"/>
              <w:right w:val="nil"/>
            </w:tcBorders>
            <w:tcMar>
              <w:top w:w="20" w:type="dxa"/>
              <w:left w:w="20" w:type="dxa"/>
              <w:bottom w:w="20" w:type="dxa"/>
              <w:right w:w="20" w:type="dxa"/>
            </w:tcMar>
            <w:vAlign w:val="center"/>
          </w:tcPr>
          <w:p>
            <w:pPr>
              <w:wordWrap w:val="off"/>
            </w:pPr>
          </w:p>
        </w:tc>
        <w:tc>
          <w:tcPr>
            <w:tcW w:type="dxa" w:w="840"/>
            <w:tcBorders>
              <w:top w:val="single" w:sz="6"/>
              <w:left w:val="nil"/>
              <w:bottom w:val="nil"/>
              <w:right w:val="nil"/>
            </w:tcBorders>
            <w:tcMar>
              <w:top w:w="20" w:type="dxa"/>
              <w:left w:w="20" w:type="dxa"/>
              <w:bottom w:w="20" w:type="dxa"/>
              <w:right w:w="20" w:type="dxa"/>
            </w:tcMar>
            <w:vAlign w:val="center"/>
          </w:tcPr>
          <w:p>
            <w:pPr>
              <w:wordWrap w:val="off"/>
            </w:pPr>
          </w:p>
        </w:tc>
        <w:tc>
          <w:tcPr>
            <w:tcW w:type="dxa" w:w="1005"/>
            <w:tcBorders>
              <w:top w:val="single" w:sz="6"/>
              <w:left w:val="nil"/>
              <w:bottom w:val="nil"/>
              <w:right w:val="nil"/>
            </w:tcBorders>
            <w:tcMar>
              <w:top w:w="20" w:type="dxa"/>
              <w:left w:w="20" w:type="dxa"/>
              <w:bottom w:w="20" w:type="dxa"/>
              <w:right w:w="20" w:type="dxa"/>
            </w:tcMar>
            <w:vAlign w:val="center"/>
          </w:tcPr>
          <w:p>
            <w:pPr>
              <w:wordWrap w:val="off"/>
            </w:pPr>
          </w:p>
        </w:tc>
        <w:tc>
          <w:tcPr>
            <w:tcW w:type="dxa" w:w="720"/>
            <w:tcBorders>
              <w:top w:val="single" w:sz="6"/>
              <w:left w:val="nil"/>
              <w:bottom w:val="nil"/>
              <w:right w:val="nil"/>
            </w:tcBorders>
            <w:tcMar>
              <w:top w:w="20" w:type="dxa"/>
              <w:left w:w="20" w:type="dxa"/>
              <w:bottom w:w="20" w:type="dxa"/>
              <w:right w:w="20" w:type="dxa"/>
            </w:tcMar>
            <w:vAlign w:val="center"/>
          </w:tcPr>
          <w:p>
            <w:pPr>
              <w:wordWrap w:val="off"/>
            </w:pPr>
          </w:p>
        </w:tc>
      </w:tr>
      <w:tr>
        <w:trPr>
          <w:trHeight w:val="390"/>
        </w:trPr>
        <w:tc>
          <w:tcPr>
            <w:tcW w:type="dxa" w:w="6000"/>
            <w:hMerge w:val="restart"/>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1"/>
              </w:rPr>
              <w:t>法定代表人（授权代表）签字：</w:t>
            </w: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tcW w:type="dxa" w:w="3585"/>
            <w:hMerge w:val="restart"/>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1"/>
              </w:rPr>
              <w:t>日期：     年     月    日</w:t>
            </w: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r>
    </w:tbl>
    <w:p>
      <w:pPr>
        <w:spacing w:before="0" w:after="0" w:lineRule="exact" w:line="390"/>
      </w:pPr>
    </w:p>
    <w:p>
      <w:pPr>
        <w:wordWrap w:val="off"/>
        <w:spacing w:lineRule="exact" w:line="378"/>
        <w:jc w:val="left"/>
      </w:pPr>
      <w:r>
        <w:rPr>
          <w:rFonts w:ascii="宋体" w:hAnsi="宋体" w:cs="宋体" w:eastAsia="宋体"/>
          <w:color w:val="000000"/>
          <w:sz w:val="21"/>
        </w:rPr>
        <w:t>注：1、此表为表样，行数可自行添加，但表式不变；</w:t>
      </w:r>
    </w:p>
    <w:p>
      <w:pPr>
        <w:wordWrap w:val="off"/>
        <w:spacing w:before="0" w:after="0" w:lineRule="exact" w:line="378"/>
        <w:ind w:firstLineChars="200"/>
        <w:jc w:val="left"/>
      </w:pPr>
      <w:r>
        <w:rPr>
          <w:rFonts w:ascii="宋体" w:hAnsi="宋体" w:cs="宋体" w:eastAsia="宋体"/>
          <w:color w:val="000000"/>
          <w:sz w:val="21"/>
        </w:rPr>
        <w:t>2、是否偏离用符号“+、=、-”分别表示正偏离、完全响应、负偏离；</w:t>
      </w:r>
    </w:p>
    <w:p>
      <w:pPr>
        <w:wordWrap w:val="off"/>
        <w:spacing w:before="0" w:after="0" w:lineRule="exact" w:line="378"/>
        <w:ind w:firstLineChars="200"/>
        <w:jc w:val="left"/>
      </w:pPr>
      <w:r>
        <w:rPr>
          <w:rFonts w:ascii="宋体" w:hAnsi="宋体" w:cs="宋体" w:eastAsia="宋体"/>
          <w:color w:val="000000"/>
          <w:sz w:val="21"/>
        </w:rPr>
        <w:t>3、</w:t>
      </w:r>
      <w:r>
        <w:rPr>
          <w:rFonts w:ascii="宋体" w:hAnsi="宋体" w:cs="宋体" w:eastAsia="宋体"/>
          <w:color w:val="000000"/>
          <w:sz w:val="21"/>
        </w:rPr>
        <w:t>供应商</w:t>
      </w:r>
      <w:r>
        <w:rPr>
          <w:rFonts w:ascii="宋体" w:hAnsi="宋体" w:cs="宋体" w:eastAsia="宋体"/>
          <w:color w:val="000000"/>
          <w:sz w:val="21"/>
        </w:rPr>
        <w:t>必须仔细阅读采购文件中所有商务条款和相关服务要求，并对所有商务条款和服务要求偏离的条目列入上表。</w:t>
      </w:r>
      <w:r>
        <w:rPr>
          <w:rFonts w:ascii="宋体" w:hAnsi="宋体" w:cs="宋体" w:eastAsia="宋体"/>
          <w:color w:val="000000"/>
          <w:sz w:val="21"/>
        </w:rPr>
        <w:t>供应商</w:t>
      </w:r>
      <w:r>
        <w:rPr>
          <w:rFonts w:ascii="宋体" w:hAnsi="宋体" w:cs="宋体" w:eastAsia="宋体"/>
          <w:color w:val="000000"/>
          <w:sz w:val="21"/>
        </w:rPr>
        <w:t>必须根据所将提供服务的实际情况如实填写，评委会如发现有虚假描述的，该</w:t>
      </w:r>
      <w:r>
        <w:rPr>
          <w:rFonts w:ascii="宋体" w:hAnsi="宋体" w:cs="宋体" w:eastAsia="宋体"/>
          <w:color w:val="000000"/>
          <w:sz w:val="21"/>
        </w:rPr>
        <w:t>响应</w:t>
      </w:r>
      <w:r>
        <w:rPr>
          <w:rFonts w:ascii="宋体" w:hAnsi="宋体" w:cs="宋体" w:eastAsia="宋体"/>
          <w:color w:val="000000"/>
          <w:sz w:val="21"/>
        </w:rPr>
        <w:t>文件视为无效。</w:t>
      </w:r>
    </w:p>
    <w:p>
      <w:pPr>
        <w:sectPr>
          <w:pgSz w:w="11907" w:h="16839" w:orient="portrait"/>
          <w:pgMar w:top="1077" w:right="1154" w:bottom="1077" w:left="1154"/>
        </w:sectPr>
      </w:pPr>
    </w:p>
    <w:p>
      <w:pPr>
        <w:wordWrap w:val="off"/>
        <w:spacing w:lineRule="exact" w:line="378"/>
        <w:jc w:val="left"/>
        <w:outlineLvl w:val="1"/>
      </w:pPr>
      <w:r>
        <w:rPr>
          <w:rFonts w:ascii="宋体" w:hAnsi="宋体" w:cs="宋体" w:eastAsia="宋体"/>
          <w:b w:val="true"/>
          <w:color w:val="000000"/>
          <w:sz w:val="21"/>
        </w:rPr>
        <w:t>附件七： 供应商资格索引表</w:t>
      </w:r>
    </w:p>
    <w:p>
      <w:pPr>
        <w:wordWrap w:val="off"/>
        <w:spacing w:before="175" w:after="175"/>
        <w:jc w:val="center"/>
      </w:pPr>
      <w:r>
        <w:rPr>
          <w:rFonts w:ascii="宋体" w:hAnsi="宋体" w:cs="宋体" w:eastAsia="宋体"/>
          <w:b w:val="true"/>
          <w:color w:val="000000"/>
          <w:sz w:val="28"/>
        </w:rPr>
        <w:t>供应商</w:t>
      </w:r>
      <w:r>
        <w:rPr>
          <w:rFonts w:ascii="宋体" w:hAnsi="宋体" w:cs="宋体" w:eastAsia="宋体"/>
          <w:b w:val="true"/>
          <w:color w:val="000000"/>
          <w:sz w:val="28"/>
        </w:rPr>
        <w:t>资格索引表</w:t>
      </w:r>
    </w:p>
    <w:tbl>
      <w:tblPr>
        <w:tblW w:w="0" w:type="auto"/>
        <w:tblBorders>
          <w:top w:val="single"/>
          <w:left w:val="single"/>
          <w:bottom w:val="single"/>
          <w:right w:val="single"/>
          <w:insideH w:val="single"/>
          <w:insideV w:val="single"/>
        </w:tblBorders>
      </w:tblPr>
      <w:tblPr>
        <w:tblW w:type="dxa" w:w="9570"/>
        <w:jc w:val="center"/>
        <w:tblBorders>
          <w:top w:val="nil"/>
          <w:left w:val="nil"/>
          <w:bottom w:val="nil"/>
          <w:right w:val="nil"/>
        </w:tblBorders>
      </w:tblPr>
      <w:tr>
        <w:trPr>
          <w:trHeight w:val="585"/>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序号</w:t>
            </w:r>
          </w:p>
        </w:tc>
        <w:tc>
          <w:tcPr>
            <w:tcW w:type="dxa" w:w="4200"/>
            <w:hMerge w:val="restart"/>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项目</w:t>
            </w: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3300"/>
            <w:hMerge w:val="restart"/>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说明</w:t>
            </w: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230"/>
            <w:tcBorders>
              <w:top w:val="single" w:sz="6"/>
              <w:left w:val="single" w:sz="6"/>
              <w:bottom w:val="nil"/>
              <w:right w:val="single" w:sz="6"/>
            </w:tcBorders>
            <w:tcMar>
              <w:top w:w="20" w:type="dxa"/>
              <w:left w:w="20" w:type="dxa"/>
              <w:bottom w:w="20" w:type="dxa"/>
              <w:right w:w="20" w:type="dxa"/>
            </w:tcMar>
            <w:vAlign w:val="center"/>
          </w:tcPr>
          <w:p>
            <w:pPr>
              <w:wordWrap w:val="off"/>
              <w:spacing w:lineRule="exact" w:line="378"/>
              <w:jc w:val="center"/>
            </w:pPr>
            <w:r>
              <w:rPr>
                <w:rFonts w:ascii="宋体" w:hAnsi="宋体" w:cs="宋体" w:eastAsia="宋体"/>
                <w:color w:val="000000"/>
                <w:sz w:val="21"/>
              </w:rPr>
              <w:t>响应</w:t>
            </w:r>
            <w:r>
              <w:rPr>
                <w:rFonts w:ascii="宋体" w:hAnsi="宋体" w:cs="宋体" w:eastAsia="宋体"/>
                <w:color w:val="000000"/>
                <w:sz w:val="21"/>
              </w:rPr>
              <w:t>文件</w:t>
            </w:r>
          </w:p>
          <w:p>
            <w:pPr>
              <w:wordWrap w:val="off"/>
              <w:spacing w:before="0" w:after="0" w:lineRule="exact" w:line="378"/>
              <w:jc w:val="center"/>
            </w:pPr>
            <w:r>
              <w:rPr>
                <w:rFonts w:ascii="宋体" w:hAnsi="宋体" w:cs="宋体" w:eastAsia="宋体"/>
                <w:color w:val="000000"/>
                <w:sz w:val="21"/>
              </w:rPr>
              <w:t>所在页码</w:t>
            </w: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420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330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230"/>
            <w:tcBorders>
              <w:top w:val="single" w:sz="6"/>
              <w:left w:val="single" w:sz="6"/>
              <w:bottom w:val="nil"/>
              <w:right w:val="single" w:sz="6"/>
            </w:tcBorders>
            <w:tcMar>
              <w:top w:w="20" w:type="dxa"/>
              <w:left w:w="20" w:type="dxa"/>
              <w:bottom w:w="20" w:type="dxa"/>
              <w:right w:w="20" w:type="dxa"/>
            </w:tcMar>
            <w:vAlign w:val="center"/>
          </w:tcPr>
          <w:p>
            <w:pPr>
              <w:wordWrap w:val="off"/>
            </w:p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420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330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230"/>
            <w:tcBorders>
              <w:top w:val="single" w:sz="6"/>
              <w:left w:val="single" w:sz="6"/>
              <w:bottom w:val="nil"/>
              <w:right w:val="single" w:sz="6"/>
            </w:tcBorders>
            <w:tcMar>
              <w:top w:w="20" w:type="dxa"/>
              <w:left w:w="20" w:type="dxa"/>
              <w:bottom w:w="20" w:type="dxa"/>
              <w:right w:w="20" w:type="dxa"/>
            </w:tcMar>
            <w:vAlign w:val="center"/>
          </w:tcPr>
          <w:p>
            <w:pPr>
              <w:wordWrap w:val="off"/>
            </w:p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420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330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230"/>
            <w:tcBorders>
              <w:top w:val="single" w:sz="6"/>
              <w:left w:val="single" w:sz="6"/>
              <w:bottom w:val="nil"/>
              <w:right w:val="single" w:sz="6"/>
            </w:tcBorders>
            <w:tcMar>
              <w:top w:w="20" w:type="dxa"/>
              <w:left w:w="20" w:type="dxa"/>
              <w:bottom w:w="20" w:type="dxa"/>
              <w:right w:w="20" w:type="dxa"/>
            </w:tcMar>
            <w:vAlign w:val="center"/>
          </w:tcPr>
          <w:p>
            <w:pPr>
              <w:wordWrap w:val="off"/>
            </w:p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420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330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230"/>
            <w:tcBorders>
              <w:top w:val="single" w:sz="6"/>
              <w:left w:val="single" w:sz="6"/>
              <w:bottom w:val="nil"/>
              <w:right w:val="single" w:sz="6"/>
            </w:tcBorders>
            <w:tcMar>
              <w:top w:w="20" w:type="dxa"/>
              <w:left w:w="20" w:type="dxa"/>
              <w:bottom w:w="20" w:type="dxa"/>
              <w:right w:w="20" w:type="dxa"/>
            </w:tcMar>
            <w:vAlign w:val="center"/>
          </w:tcPr>
          <w:p>
            <w:pPr>
              <w:wordWrap w:val="off"/>
            </w:p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420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330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230"/>
            <w:tcBorders>
              <w:top w:val="single" w:sz="6"/>
              <w:left w:val="single" w:sz="6"/>
              <w:bottom w:val="nil"/>
              <w:right w:val="single" w:sz="6"/>
            </w:tcBorders>
            <w:tcMar>
              <w:top w:w="20" w:type="dxa"/>
              <w:left w:w="20" w:type="dxa"/>
              <w:bottom w:w="20" w:type="dxa"/>
              <w:right w:w="20" w:type="dxa"/>
            </w:tcMar>
            <w:vAlign w:val="center"/>
          </w:tcPr>
          <w:p>
            <w:pPr>
              <w:wordWrap w:val="off"/>
            </w:p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420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330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230"/>
            <w:tcBorders>
              <w:top w:val="single" w:sz="6"/>
              <w:left w:val="single" w:sz="6"/>
              <w:bottom w:val="nil"/>
              <w:right w:val="single" w:sz="6"/>
            </w:tcBorders>
            <w:tcMar>
              <w:top w:w="20" w:type="dxa"/>
              <w:left w:w="20" w:type="dxa"/>
              <w:bottom w:w="20" w:type="dxa"/>
              <w:right w:w="20" w:type="dxa"/>
            </w:tcMar>
            <w:vAlign w:val="center"/>
          </w:tcPr>
          <w:p>
            <w:pPr>
              <w:wordWrap w:val="off"/>
            </w:p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420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330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230"/>
            <w:tcBorders>
              <w:top w:val="single" w:sz="6"/>
              <w:left w:val="single" w:sz="6"/>
              <w:bottom w:val="nil"/>
              <w:right w:val="single" w:sz="6"/>
            </w:tcBorders>
            <w:tcMar>
              <w:top w:w="20" w:type="dxa"/>
              <w:left w:w="20" w:type="dxa"/>
              <w:bottom w:w="20" w:type="dxa"/>
              <w:right w:w="20" w:type="dxa"/>
            </w:tcMar>
            <w:vAlign w:val="center"/>
          </w:tcPr>
          <w:p>
            <w:pPr>
              <w:wordWrap w:val="off"/>
            </w:p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420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330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230"/>
            <w:tcBorders>
              <w:top w:val="single" w:sz="6"/>
              <w:left w:val="single" w:sz="6"/>
              <w:bottom w:val="nil"/>
              <w:right w:val="single" w:sz="6"/>
            </w:tcBorders>
            <w:tcMar>
              <w:top w:w="20" w:type="dxa"/>
              <w:left w:w="20" w:type="dxa"/>
              <w:bottom w:w="20" w:type="dxa"/>
              <w:right w:w="20" w:type="dxa"/>
            </w:tcMar>
            <w:vAlign w:val="center"/>
          </w:tcPr>
          <w:p>
            <w:pPr>
              <w:wordWrap w:val="off"/>
            </w:p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420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330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230"/>
            <w:tcBorders>
              <w:top w:val="single" w:sz="6"/>
              <w:left w:val="single" w:sz="6"/>
              <w:bottom w:val="nil"/>
              <w:right w:val="single" w:sz="6"/>
            </w:tcBorders>
            <w:tcMar>
              <w:top w:w="20" w:type="dxa"/>
              <w:left w:w="20" w:type="dxa"/>
              <w:bottom w:w="20" w:type="dxa"/>
              <w:right w:w="20" w:type="dxa"/>
            </w:tcMar>
            <w:vAlign w:val="center"/>
          </w:tcPr>
          <w:p>
            <w:pPr>
              <w:wordWrap w:val="off"/>
            </w:p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420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330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230"/>
            <w:tcBorders>
              <w:top w:val="single" w:sz="6"/>
              <w:left w:val="single" w:sz="6"/>
              <w:bottom w:val="nil"/>
              <w:right w:val="single" w:sz="6"/>
            </w:tcBorders>
            <w:tcMar>
              <w:top w:w="20" w:type="dxa"/>
              <w:left w:w="20" w:type="dxa"/>
              <w:bottom w:w="20" w:type="dxa"/>
              <w:right w:w="20" w:type="dxa"/>
            </w:tcMar>
            <w:vAlign w:val="center"/>
          </w:tcPr>
          <w:p>
            <w:pPr>
              <w:wordWrap w:val="off"/>
            </w:p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420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330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230"/>
            <w:tcBorders>
              <w:top w:val="single" w:sz="6"/>
              <w:left w:val="single" w:sz="6"/>
              <w:bottom w:val="nil"/>
              <w:right w:val="single" w:sz="6"/>
            </w:tcBorders>
            <w:tcMar>
              <w:top w:w="20" w:type="dxa"/>
              <w:left w:w="20" w:type="dxa"/>
              <w:bottom w:w="20" w:type="dxa"/>
              <w:right w:w="20" w:type="dxa"/>
            </w:tcMar>
            <w:vAlign w:val="center"/>
          </w:tcPr>
          <w:p>
            <w:pPr>
              <w:wordWrap w:val="off"/>
            </w:p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420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330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230"/>
            <w:tcBorders>
              <w:top w:val="single" w:sz="6"/>
              <w:left w:val="single" w:sz="6"/>
              <w:bottom w:val="nil"/>
              <w:right w:val="single" w:sz="6"/>
            </w:tcBorders>
            <w:tcMar>
              <w:top w:w="20" w:type="dxa"/>
              <w:left w:w="20" w:type="dxa"/>
              <w:bottom w:w="20" w:type="dxa"/>
              <w:right w:w="20" w:type="dxa"/>
            </w:tcMar>
            <w:vAlign w:val="center"/>
          </w:tcPr>
          <w:p>
            <w:pPr>
              <w:wordWrap w:val="off"/>
            </w:p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420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330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230"/>
            <w:tcBorders>
              <w:top w:val="single" w:sz="6"/>
              <w:left w:val="single" w:sz="6"/>
              <w:bottom w:val="nil"/>
              <w:right w:val="single" w:sz="6"/>
            </w:tcBorders>
            <w:tcMar>
              <w:top w:w="20" w:type="dxa"/>
              <w:left w:w="20" w:type="dxa"/>
              <w:bottom w:w="20" w:type="dxa"/>
              <w:right w:w="20" w:type="dxa"/>
            </w:tcMar>
            <w:vAlign w:val="center"/>
          </w:tcPr>
          <w:p>
            <w:pPr>
              <w:wordWrap w:val="off"/>
            </w:p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420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330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230"/>
            <w:tcBorders>
              <w:top w:val="single" w:sz="6"/>
              <w:left w:val="single" w:sz="6"/>
              <w:bottom w:val="nil"/>
              <w:right w:val="single" w:sz="6"/>
            </w:tcBorders>
            <w:tcMar>
              <w:top w:w="20" w:type="dxa"/>
              <w:left w:w="20" w:type="dxa"/>
              <w:bottom w:w="20" w:type="dxa"/>
              <w:right w:w="20" w:type="dxa"/>
            </w:tcMar>
            <w:vAlign w:val="center"/>
          </w:tcPr>
          <w:p>
            <w:pPr>
              <w:wordWrap w:val="off"/>
            </w:p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420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330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230"/>
            <w:tcBorders>
              <w:top w:val="single" w:sz="6"/>
              <w:left w:val="single" w:sz="6"/>
              <w:bottom w:val="nil"/>
              <w:right w:val="single" w:sz="6"/>
            </w:tcBorders>
            <w:tcMar>
              <w:top w:w="20" w:type="dxa"/>
              <w:left w:w="20" w:type="dxa"/>
              <w:bottom w:w="20" w:type="dxa"/>
              <w:right w:w="20" w:type="dxa"/>
            </w:tcMar>
            <w:vAlign w:val="center"/>
          </w:tcPr>
          <w:p>
            <w:pPr>
              <w:wordWrap w:val="off"/>
            </w:pPr>
          </w:p>
        </w:tc>
      </w:tr>
      <w:tr>
        <w:trPr>
          <w:trHeight w:val="390" w:hRule="exact"/>
        </w:trPr>
        <w:tc>
          <w:tcPr>
            <w:tcW w:type="dxa" w:w="840"/>
            <w:tcBorders>
              <w:top w:val="single" w:sz="6"/>
              <w:left w:val="nil"/>
              <w:bottom w:val="nil"/>
              <w:right w:val="nil"/>
            </w:tcBorders>
            <w:tcMar>
              <w:top w:w="20" w:type="dxa"/>
              <w:left w:w="20" w:type="dxa"/>
              <w:bottom w:w="20" w:type="dxa"/>
              <w:right w:w="20" w:type="dxa"/>
            </w:tcMar>
            <w:vAlign w:val="center"/>
          </w:tcPr>
          <w:p>
            <w:pPr>
              <w:wordWrap w:val="off"/>
            </w:pPr>
          </w:p>
        </w:tc>
        <w:tc>
          <w:tcPr>
            <w:tcW w:type="dxa" w:w="840"/>
            <w:tcBorders>
              <w:top w:val="single" w:sz="6"/>
              <w:left w:val="nil"/>
              <w:bottom w:val="nil"/>
              <w:right w:val="nil"/>
            </w:tcBorders>
            <w:tcMar>
              <w:top w:w="20" w:type="dxa"/>
              <w:left w:w="20" w:type="dxa"/>
              <w:bottom w:w="20" w:type="dxa"/>
              <w:right w:w="20" w:type="dxa"/>
            </w:tcMar>
            <w:vAlign w:val="center"/>
          </w:tcPr>
          <w:p>
            <w:pPr>
              <w:wordWrap w:val="off"/>
            </w:pPr>
          </w:p>
        </w:tc>
        <w:tc>
          <w:tcPr>
            <w:tcW w:type="dxa" w:w="840"/>
            <w:tcBorders>
              <w:top w:val="single" w:sz="6"/>
              <w:left w:val="nil"/>
              <w:bottom w:val="nil"/>
              <w:right w:val="nil"/>
            </w:tcBorders>
            <w:tcMar>
              <w:top w:w="20" w:type="dxa"/>
              <w:left w:w="20" w:type="dxa"/>
              <w:bottom w:w="20" w:type="dxa"/>
              <w:right w:w="20" w:type="dxa"/>
            </w:tcMar>
            <w:vAlign w:val="center"/>
          </w:tcPr>
          <w:p>
            <w:pPr>
              <w:wordWrap w:val="off"/>
            </w:pPr>
          </w:p>
        </w:tc>
        <w:tc>
          <w:tcPr>
            <w:tcW w:type="dxa" w:w="840"/>
            <w:tcBorders>
              <w:top w:val="single" w:sz="6"/>
              <w:left w:val="nil"/>
              <w:bottom w:val="nil"/>
              <w:right w:val="nil"/>
            </w:tcBorders>
            <w:tcMar>
              <w:top w:w="20" w:type="dxa"/>
              <w:left w:w="20" w:type="dxa"/>
              <w:bottom w:w="20" w:type="dxa"/>
              <w:right w:w="20" w:type="dxa"/>
            </w:tcMar>
            <w:vAlign w:val="center"/>
          </w:tcPr>
          <w:p>
            <w:pPr>
              <w:wordWrap w:val="off"/>
            </w:pPr>
          </w:p>
        </w:tc>
        <w:tc>
          <w:tcPr>
            <w:tcW w:type="dxa" w:w="840"/>
            <w:tcBorders>
              <w:top w:val="single" w:sz="6"/>
              <w:left w:val="nil"/>
              <w:bottom w:val="nil"/>
              <w:right w:val="nil"/>
            </w:tcBorders>
            <w:tcMar>
              <w:top w:w="20" w:type="dxa"/>
              <w:left w:w="20" w:type="dxa"/>
              <w:bottom w:w="20" w:type="dxa"/>
              <w:right w:w="20" w:type="dxa"/>
            </w:tcMar>
            <w:vAlign w:val="center"/>
          </w:tcPr>
          <w:p>
            <w:pPr>
              <w:wordWrap w:val="off"/>
            </w:pPr>
          </w:p>
        </w:tc>
        <w:tc>
          <w:tcPr>
            <w:tcW w:type="dxa" w:w="840"/>
            <w:tcBorders>
              <w:top w:val="single" w:sz="6"/>
              <w:left w:val="nil"/>
              <w:bottom w:val="nil"/>
              <w:right w:val="nil"/>
            </w:tcBorders>
            <w:tcMar>
              <w:top w:w="20" w:type="dxa"/>
              <w:left w:w="20" w:type="dxa"/>
              <w:bottom w:w="20" w:type="dxa"/>
              <w:right w:w="20" w:type="dxa"/>
            </w:tcMar>
            <w:vAlign w:val="center"/>
          </w:tcPr>
          <w:p>
            <w:pPr>
              <w:wordWrap w:val="off"/>
            </w:pPr>
          </w:p>
        </w:tc>
        <w:tc>
          <w:tcPr>
            <w:tcW w:type="dxa" w:w="840"/>
            <w:tcBorders>
              <w:top w:val="single" w:sz="6"/>
              <w:left w:val="nil"/>
              <w:bottom w:val="nil"/>
              <w:right w:val="nil"/>
            </w:tcBorders>
            <w:tcMar>
              <w:top w:w="20" w:type="dxa"/>
              <w:left w:w="20" w:type="dxa"/>
              <w:bottom w:w="20" w:type="dxa"/>
              <w:right w:w="20" w:type="dxa"/>
            </w:tcMar>
            <w:vAlign w:val="center"/>
          </w:tcPr>
          <w:p>
            <w:pPr>
              <w:wordWrap w:val="off"/>
            </w:pPr>
          </w:p>
        </w:tc>
        <w:tc>
          <w:tcPr>
            <w:tcW w:type="dxa" w:w="840"/>
            <w:tcBorders>
              <w:top w:val="single" w:sz="6"/>
              <w:left w:val="nil"/>
              <w:bottom w:val="nil"/>
              <w:right w:val="nil"/>
            </w:tcBorders>
            <w:tcMar>
              <w:top w:w="20" w:type="dxa"/>
              <w:left w:w="20" w:type="dxa"/>
              <w:bottom w:w="20" w:type="dxa"/>
              <w:right w:w="20" w:type="dxa"/>
            </w:tcMar>
            <w:vAlign w:val="center"/>
          </w:tcPr>
          <w:p>
            <w:pPr>
              <w:wordWrap w:val="off"/>
            </w:pPr>
          </w:p>
        </w:tc>
        <w:tc>
          <w:tcPr>
            <w:tcW w:type="dxa" w:w="1620"/>
            <w:tcBorders>
              <w:top w:val="single" w:sz="6"/>
              <w:left w:val="nil"/>
              <w:bottom w:val="nil"/>
              <w:right w:val="nil"/>
            </w:tcBorders>
            <w:tcMar>
              <w:top w:w="20" w:type="dxa"/>
              <w:left w:w="20" w:type="dxa"/>
              <w:bottom w:w="20" w:type="dxa"/>
              <w:right w:w="20" w:type="dxa"/>
            </w:tcMar>
            <w:vAlign w:val="center"/>
          </w:tcPr>
          <w:p>
            <w:pPr>
              <w:wordWrap w:val="off"/>
            </w:pPr>
          </w:p>
        </w:tc>
        <w:tc>
          <w:tcPr>
            <w:tcW w:type="dxa" w:w="1230"/>
            <w:tcBorders>
              <w:top w:val="single" w:sz="6"/>
              <w:left w:val="nil"/>
              <w:bottom w:val="nil"/>
              <w:right w:val="nil"/>
            </w:tcBorders>
            <w:tcMar>
              <w:top w:w="20" w:type="dxa"/>
              <w:left w:w="20" w:type="dxa"/>
              <w:bottom w:w="20" w:type="dxa"/>
              <w:right w:w="20" w:type="dxa"/>
            </w:tcMar>
            <w:vAlign w:val="center"/>
          </w:tcPr>
          <w:p>
            <w:pPr>
              <w:wordWrap w:val="off"/>
            </w:pPr>
          </w:p>
        </w:tc>
      </w:tr>
      <w:tr>
        <w:trPr>
          <w:trHeight w:val="390"/>
        </w:trPr>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5370"/>
            <w:hMerge w:val="restart"/>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1"/>
              </w:rPr>
              <w:t>法定代表人（授权代表）签字：</w:t>
            </w: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r>
      <w:tr>
        <w:trPr>
          <w:trHeight w:val="390"/>
        </w:trPr>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5370"/>
            <w:hMerge w:val="restart"/>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1"/>
              </w:rPr>
              <w:t>日期：     年     月    日</w:t>
            </w: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r>
    </w:tbl>
    <w:p>
      <w:pPr>
        <w:spacing w:before="0" w:after="0" w:lineRule="exact" w:line="390"/>
      </w:pPr>
    </w:p>
    <w:p>
      <w:pPr>
        <w:sectPr>
          <w:pgSz w:w="11907" w:h="16839" w:orient="portrait"/>
          <w:pgMar w:top="1077" w:right="1154" w:bottom="1077" w:left="1154"/>
        </w:sectPr>
      </w:pPr>
    </w:p>
    <w:p>
      <w:pPr>
        <w:wordWrap w:val="off"/>
        <w:spacing w:lineRule="exact" w:line="378"/>
        <w:jc w:val="left"/>
        <w:outlineLvl w:val="1"/>
      </w:pPr>
      <w:r>
        <w:rPr>
          <w:rFonts w:ascii="宋体" w:hAnsi="宋体" w:cs="宋体" w:eastAsia="宋体"/>
          <w:b w:val="true"/>
          <w:color w:val="000000"/>
          <w:sz w:val="21"/>
        </w:rPr>
        <w:t>附件八： 资格证明材料</w:t>
      </w:r>
    </w:p>
    <w:p>
      <w:pPr>
        <w:wordWrap w:val="off"/>
        <w:spacing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1、具有独立承担民事责任的能力（提供法人或者其他组织的营业执照等有效证明文件复印件）</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2、法人代表授权书（原件）及法定代表人、授权代表身份证复印件（如果是法定代表人直接参与报价的可以不提供授权书）</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3、具有良好的商业信誉和健全的财务会计制度，提供距投标响应文件提交截止时间六个月内任意一月份的财务状况报告（至少包括资产负债表和利润表）（法人或者其他组织成立未满三个月的可以不提供）或银行出具的资信证书（复印件）（报价前六个月内），或其经审计的2024年度审计报告复印件，加盖公章</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4、具有履行合同所必需的设备和专业技术能力（根据项目需求提供履行合同所必需的设备和专业技术能力的证明材料或加盖公章的承诺函原件）</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5、有依法缴纳税收和社会保障资金的良好记录（提供参加本次采购活动前半年内至少一个月依法缴纳税收和社会保障资金的有效凭据复印件加盖公章，依法免税或不需要缴纳社会保障资金的供应商，应提供相应证明文件）</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6、自2022年01月01日以来，在经营活动中没有重大违法记录（提供承诺书原件，格式自拟，重大违法记录是指供应商因违法经营受到刑事处罚或责令停产停业、吊销许可证或者执照、较大数额罚款等行政处罚）</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7、法律、行政法规规定的其他条件。</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8、本项目专门面向中小企业采购，所属行业为信息和软件行业，响应单位应为中小微企业或监狱企业或残疾人福利性单位。</w:t>
      </w:r>
    </w:p>
    <w:p>
      <w:pPr>
        <w:sectPr>
          <w:pgSz w:w="11907" w:h="16839" w:orient="portrait"/>
          <w:pgMar w:top="1077" w:right="1154" w:bottom="1077" w:left="1154"/>
        </w:sectPr>
      </w:pPr>
    </w:p>
    <w:p>
      <w:pPr>
        <w:wordWrap w:val="off"/>
        <w:spacing w:lineRule="exact" w:line="378"/>
        <w:jc w:val="left"/>
        <w:outlineLvl w:val="1"/>
      </w:pPr>
      <w:r>
        <w:rPr>
          <w:rFonts w:ascii="宋体" w:hAnsi="宋体" w:cs="宋体" w:eastAsia="宋体"/>
          <w:b w:val="true"/>
          <w:color w:val="000000"/>
          <w:sz w:val="21"/>
        </w:rPr>
        <w:t>附件九： 中小企业、残疾人福利性单位、监狱企业声明资料</w:t>
      </w:r>
    </w:p>
    <w:p>
      <w:pPr>
        <w:wordWrap w:val="off"/>
        <w:spacing w:before="199" w:after="199"/>
        <w:jc w:val="center"/>
        <w:outlineLvl w:val="2"/>
      </w:pPr>
      <w:r>
        <w:rPr>
          <w:rFonts w:ascii="宋体" w:hAnsi="宋体" w:cs="宋体" w:eastAsia="宋体"/>
          <w:b w:val="true"/>
          <w:color w:val="000000"/>
          <w:sz w:val="32"/>
        </w:rPr>
        <w:t>中小企业声明函（货物）</w:t>
      </w:r>
    </w:p>
    <w:p>
      <w:pPr>
        <w:wordWrap w:val="off"/>
        <w:spacing w:lineRule="exact" w:line="431"/>
        <w:ind w:firstLineChars="200"/>
        <w:jc w:val="left"/>
      </w:pPr>
      <w:r>
        <w:rPr>
          <w:rFonts w:ascii="宋体" w:hAnsi="宋体" w:cs="宋体" w:eastAsia="宋体"/>
          <w:color w:val="000000"/>
          <w:sz w:val="24"/>
        </w:rPr>
        <w:t>本公司（联合体）郑重声明，根据《政府采购促进中小企业发展管理办法》（财库﹝2020﹞46 号）的规定，本公司（联合体）参加</w:t>
      </w:r>
      <w:r>
        <w:rPr>
          <w:rFonts w:ascii="宋体" w:hAnsi="宋体" w:cs="宋体" w:eastAsia="宋体"/>
          <w:color w:val="000000"/>
          <w:sz w:val="24"/>
          <w:u w:val="single"/>
        </w:rPr>
        <w:t>苏州科技大学</w:t>
      </w:r>
      <w:r>
        <w:rPr>
          <w:rFonts w:ascii="宋体" w:hAnsi="宋体" w:cs="宋体" w:eastAsia="宋体"/>
          <w:color w:val="000000"/>
          <w:sz w:val="24"/>
        </w:rPr>
        <w:t>的</w:t>
      </w:r>
      <w:r>
        <w:rPr>
          <w:rFonts w:ascii="宋体" w:hAnsi="宋体" w:cs="宋体" w:eastAsia="宋体"/>
          <w:color w:val="000000"/>
          <w:sz w:val="24"/>
          <w:u w:val="single"/>
        </w:rPr>
        <w:t>信息中心WEB资源发布系统</w:t>
      </w:r>
      <w:r>
        <w:rPr>
          <w:rFonts w:ascii="宋体" w:hAnsi="宋体" w:cs="宋体" w:eastAsia="宋体"/>
          <w:color w:val="000000"/>
          <w:sz w:val="24"/>
        </w:rPr>
        <w:t>采购活动，提供的货物全部由符合政策要求的中小企业制造。相关企业（含联合体中的中小企业、签订分包意向协议的中小企业）的具体情况如下：</w:t>
      </w:r>
    </w:p>
    <w:p>
      <w:pPr>
        <w:wordWrap w:val="off"/>
        <w:spacing w:before="0" w:after="0" w:lineRule="exact" w:line="431"/>
        <w:ind w:firstLineChars="200"/>
        <w:jc w:val="left"/>
      </w:pPr>
      <w:r>
        <w:rPr>
          <w:rFonts w:ascii="宋体" w:hAnsi="宋体" w:cs="宋体" w:eastAsia="宋体"/>
          <w:color w:val="000000"/>
          <w:sz w:val="24"/>
        </w:rPr>
        <w:t>1.</w:t>
      </w:r>
      <w:r>
        <w:rPr>
          <w:rFonts w:ascii="宋体" w:hAnsi="宋体" w:cs="宋体" w:eastAsia="宋体"/>
          <w:color w:val="000000"/>
          <w:sz w:val="24"/>
          <w:u w:val="single"/>
        </w:rPr>
        <w:t xml:space="preserve"> （标的名称） </w:t>
      </w:r>
      <w:r>
        <w:rPr>
          <w:rFonts w:ascii="宋体" w:hAnsi="宋体" w:cs="宋体" w:eastAsia="宋体"/>
          <w:color w:val="000000"/>
          <w:sz w:val="24"/>
        </w:rPr>
        <w:t>，属于</w:t>
      </w:r>
      <w:r>
        <w:rPr>
          <w:rFonts w:ascii="宋体" w:hAnsi="宋体" w:cs="宋体" w:eastAsia="宋体"/>
          <w:color w:val="000000"/>
          <w:sz w:val="24"/>
          <w:u w:val="single"/>
        </w:rPr>
        <w:t>（采购文件中明确的所属行业）</w:t>
      </w:r>
      <w:r>
        <w:rPr>
          <w:rFonts w:ascii="宋体" w:hAnsi="宋体" w:cs="宋体" w:eastAsia="宋体"/>
          <w:color w:val="000000"/>
          <w:sz w:val="24"/>
        </w:rPr>
        <w:t xml:space="preserve">行业；制造商为 </w:t>
      </w:r>
      <w:r>
        <w:rPr>
          <w:rFonts w:ascii="宋体" w:hAnsi="宋体" w:cs="宋体" w:eastAsia="宋体"/>
          <w:color w:val="000000"/>
          <w:sz w:val="24"/>
          <w:u w:val="single"/>
        </w:rPr>
        <w:t xml:space="preserve">（企业名称） </w:t>
      </w:r>
      <w:r>
        <w:rPr>
          <w:rFonts w:ascii="宋体" w:hAnsi="宋体" w:cs="宋体" w:eastAsia="宋体"/>
          <w:color w:val="000000"/>
          <w:sz w:val="24"/>
        </w:rPr>
        <w:t>，从业人员</w:t>
      </w:r>
      <w:r>
        <w:rPr>
          <w:rFonts w:ascii="宋体" w:hAnsi="宋体" w:cs="宋体" w:eastAsia="宋体"/>
          <w:color w:val="000000"/>
          <w:sz w:val="24"/>
          <w:u w:val="single"/>
        </w:rPr>
        <w:t xml:space="preserve">    </w:t>
      </w:r>
      <w:r>
        <w:rPr>
          <w:rFonts w:ascii="宋体" w:hAnsi="宋体" w:cs="宋体" w:eastAsia="宋体"/>
          <w:color w:val="000000"/>
          <w:sz w:val="24"/>
        </w:rPr>
        <w:t>人，营业收入为</w:t>
      </w:r>
      <w:r>
        <w:rPr>
          <w:rFonts w:ascii="宋体" w:hAnsi="宋体" w:cs="宋体" w:eastAsia="宋体"/>
          <w:color w:val="000000"/>
          <w:sz w:val="24"/>
          <w:u w:val="single"/>
        </w:rPr>
        <w:t xml:space="preserve">      </w:t>
      </w:r>
      <w:r>
        <w:rPr>
          <w:rFonts w:ascii="宋体" w:hAnsi="宋体" w:cs="宋体" w:eastAsia="宋体"/>
          <w:color w:val="000000"/>
          <w:sz w:val="24"/>
        </w:rPr>
        <w:t>万元，资产总额为</w:t>
      </w:r>
      <w:r>
        <w:rPr>
          <w:rFonts w:ascii="宋体" w:hAnsi="宋体" w:cs="宋体" w:eastAsia="宋体"/>
          <w:color w:val="000000"/>
          <w:sz w:val="24"/>
          <w:u w:val="single"/>
        </w:rPr>
        <w:t xml:space="preserve">      </w:t>
      </w:r>
      <w:r>
        <w:rPr>
          <w:rFonts w:ascii="宋体" w:hAnsi="宋体" w:cs="宋体" w:eastAsia="宋体"/>
          <w:color w:val="000000"/>
          <w:sz w:val="24"/>
        </w:rPr>
        <w:t>万元，属于</w:t>
      </w:r>
      <w:r>
        <w:rPr>
          <w:rFonts w:ascii="宋体" w:hAnsi="宋体" w:cs="宋体" w:eastAsia="宋体"/>
          <w:color w:val="000000"/>
          <w:sz w:val="24"/>
          <w:u w:val="single"/>
        </w:rPr>
        <w:t>（中型企业、小型企业、微型企业）</w:t>
      </w:r>
      <w:r>
        <w:rPr>
          <w:rFonts w:ascii="宋体" w:hAnsi="宋体" w:cs="宋体" w:eastAsia="宋体"/>
          <w:color w:val="000000"/>
          <w:sz w:val="24"/>
        </w:rPr>
        <w:t>；</w:t>
      </w:r>
    </w:p>
    <w:p>
      <w:pPr>
        <w:wordWrap w:val="off"/>
        <w:spacing w:before="0" w:after="0" w:lineRule="exact" w:line="431"/>
        <w:ind w:firstLineChars="200"/>
        <w:jc w:val="left"/>
      </w:pPr>
      <w:r>
        <w:rPr>
          <w:rFonts w:ascii="宋体" w:hAnsi="宋体" w:cs="宋体" w:eastAsia="宋体"/>
          <w:color w:val="000000"/>
          <w:sz w:val="24"/>
        </w:rPr>
        <w:t>2.</w:t>
      </w:r>
      <w:r>
        <w:rPr>
          <w:rFonts w:ascii="宋体" w:hAnsi="宋体" w:cs="宋体" w:eastAsia="宋体"/>
          <w:color w:val="000000"/>
          <w:sz w:val="24"/>
          <w:u w:val="single"/>
        </w:rPr>
        <w:t xml:space="preserve"> （标的名称） </w:t>
      </w:r>
      <w:r>
        <w:rPr>
          <w:rFonts w:ascii="宋体" w:hAnsi="宋体" w:cs="宋体" w:eastAsia="宋体"/>
          <w:color w:val="000000"/>
          <w:sz w:val="24"/>
        </w:rPr>
        <w:t>，属于</w:t>
      </w:r>
      <w:r>
        <w:rPr>
          <w:rFonts w:ascii="宋体" w:hAnsi="宋体" w:cs="宋体" w:eastAsia="宋体"/>
          <w:color w:val="000000"/>
          <w:sz w:val="24"/>
          <w:u w:val="single"/>
        </w:rPr>
        <w:t>（采购文件中明确的所属行业）</w:t>
      </w:r>
      <w:r>
        <w:rPr>
          <w:rFonts w:ascii="宋体" w:hAnsi="宋体" w:cs="宋体" w:eastAsia="宋体"/>
          <w:color w:val="000000"/>
          <w:sz w:val="24"/>
        </w:rPr>
        <w:t xml:space="preserve">行业；制造商为 </w:t>
      </w:r>
      <w:r>
        <w:rPr>
          <w:rFonts w:ascii="宋体" w:hAnsi="宋体" w:cs="宋体" w:eastAsia="宋体"/>
          <w:color w:val="000000"/>
          <w:sz w:val="24"/>
          <w:u w:val="single"/>
        </w:rPr>
        <w:t xml:space="preserve">（企业名称） </w:t>
      </w:r>
      <w:r>
        <w:rPr>
          <w:rFonts w:ascii="宋体" w:hAnsi="宋体" w:cs="宋体" w:eastAsia="宋体"/>
          <w:color w:val="000000"/>
          <w:sz w:val="24"/>
        </w:rPr>
        <w:t>，从业人员</w:t>
      </w:r>
      <w:r>
        <w:rPr>
          <w:rFonts w:ascii="宋体" w:hAnsi="宋体" w:cs="宋体" w:eastAsia="宋体"/>
          <w:color w:val="000000"/>
          <w:sz w:val="24"/>
          <w:u w:val="single"/>
        </w:rPr>
        <w:t xml:space="preserve">    </w:t>
      </w:r>
      <w:r>
        <w:rPr>
          <w:rFonts w:ascii="宋体" w:hAnsi="宋体" w:cs="宋体" w:eastAsia="宋体"/>
          <w:color w:val="000000"/>
          <w:sz w:val="24"/>
        </w:rPr>
        <w:t>人，营业收入为</w:t>
      </w:r>
      <w:r>
        <w:rPr>
          <w:rFonts w:ascii="宋体" w:hAnsi="宋体" w:cs="宋体" w:eastAsia="宋体"/>
          <w:color w:val="000000"/>
          <w:sz w:val="24"/>
          <w:u w:val="single"/>
        </w:rPr>
        <w:t xml:space="preserve">      </w:t>
      </w:r>
      <w:r>
        <w:rPr>
          <w:rFonts w:ascii="宋体" w:hAnsi="宋体" w:cs="宋体" w:eastAsia="宋体"/>
          <w:color w:val="000000"/>
          <w:sz w:val="24"/>
        </w:rPr>
        <w:t>万元，资产总额为</w:t>
      </w:r>
      <w:r>
        <w:rPr>
          <w:rFonts w:ascii="宋体" w:hAnsi="宋体" w:cs="宋体" w:eastAsia="宋体"/>
          <w:color w:val="000000"/>
          <w:sz w:val="24"/>
          <w:u w:val="single"/>
        </w:rPr>
        <w:t xml:space="preserve">      </w:t>
      </w:r>
      <w:r>
        <w:rPr>
          <w:rFonts w:ascii="宋体" w:hAnsi="宋体" w:cs="宋体" w:eastAsia="宋体"/>
          <w:color w:val="000000"/>
          <w:sz w:val="24"/>
        </w:rPr>
        <w:t>万元，属于</w:t>
      </w:r>
      <w:r>
        <w:rPr>
          <w:rFonts w:ascii="宋体" w:hAnsi="宋体" w:cs="宋体" w:eastAsia="宋体"/>
          <w:color w:val="000000"/>
          <w:sz w:val="24"/>
          <w:u w:val="single"/>
        </w:rPr>
        <w:t>（中型企业、小型企业、微型企业）</w:t>
      </w:r>
      <w:r>
        <w:rPr>
          <w:rFonts w:ascii="宋体" w:hAnsi="宋体" w:cs="宋体" w:eastAsia="宋体"/>
          <w:color w:val="000000"/>
          <w:sz w:val="24"/>
        </w:rPr>
        <w:t>；</w:t>
      </w:r>
    </w:p>
    <w:p>
      <w:pPr>
        <w:wordWrap w:val="off"/>
        <w:spacing w:before="0" w:after="0" w:lineRule="exact" w:line="431"/>
        <w:jc w:val="left"/>
      </w:pPr>
    </w:p>
    <w:p>
      <w:pPr>
        <w:wordWrap w:val="off"/>
        <w:spacing w:before="0" w:after="0" w:lineRule="exact" w:line="431"/>
        <w:jc w:val="left"/>
      </w:pPr>
    </w:p>
    <w:p>
      <w:pPr>
        <w:wordWrap w:val="off"/>
        <w:spacing w:before="0" w:after="0" w:lineRule="exact" w:line="431"/>
        <w:ind w:firstLineChars="200"/>
        <w:jc w:val="left"/>
      </w:pPr>
      <w:r>
        <w:rPr>
          <w:rFonts w:ascii="宋体" w:hAnsi="宋体" w:cs="宋体" w:eastAsia="宋体"/>
          <w:color w:val="000000"/>
          <w:sz w:val="24"/>
        </w:rPr>
        <w:t>以上企业，不属于大企业的分支机构，不存在控股股东为大企业的情形，也不存在与大企业的负责人为同一人的情形。</w:t>
      </w:r>
    </w:p>
    <w:p>
      <w:pPr>
        <w:wordWrap w:val="off"/>
        <w:spacing w:before="0" w:after="0" w:lineRule="exact" w:line="431"/>
        <w:ind w:firstLineChars="200"/>
        <w:jc w:val="left"/>
      </w:pPr>
      <w:r>
        <w:rPr>
          <w:rFonts w:ascii="宋体" w:hAnsi="宋体" w:cs="宋体" w:eastAsia="宋体"/>
          <w:color w:val="000000"/>
          <w:sz w:val="24"/>
        </w:rPr>
        <w:t>本企业对上述声明内容的真实性负责。如有虚假，将依法承担相应责任。</w:t>
      </w:r>
    </w:p>
    <w:p>
      <w:pPr>
        <w:wordWrap w:val="off"/>
        <w:spacing w:before="0" w:after="0" w:lineRule="exact" w:line="431"/>
        <w:jc w:val="left"/>
      </w:pPr>
    </w:p>
    <w:p>
      <w:pPr>
        <w:wordWrap w:val="off"/>
        <w:spacing w:before="0" w:after="0" w:lineRule="exact" w:line="431"/>
        <w:jc w:val="left"/>
      </w:pPr>
    </w:p>
    <w:p>
      <w:pPr>
        <w:wordWrap w:val="off"/>
        <w:spacing w:before="0" w:after="0" w:lineRule="exact" w:line="431"/>
        <w:jc w:val="left"/>
      </w:pPr>
    </w:p>
    <w:p>
      <w:pPr>
        <w:wordWrap w:val="off"/>
        <w:spacing w:before="0" w:after="0" w:lineRule="exact" w:line="431"/>
        <w:jc w:val="left"/>
      </w:pPr>
    </w:p>
    <w:p>
      <w:pPr>
        <w:wordWrap w:val="off"/>
        <w:spacing w:before="0" w:after="0" w:lineRule="exact" w:line="431"/>
        <w:ind w:firstLineChars="2250"/>
        <w:jc w:val="left"/>
      </w:pPr>
      <w:r>
        <w:rPr>
          <w:rFonts w:ascii="宋体" w:hAnsi="宋体" w:cs="宋体" w:eastAsia="宋体"/>
          <w:color w:val="000000"/>
          <w:sz w:val="24"/>
        </w:rPr>
        <w:t>企业名称（盖章）：</w:t>
      </w:r>
    </w:p>
    <w:p>
      <w:pPr>
        <w:wordWrap w:val="off"/>
        <w:spacing w:before="0" w:after="0" w:lineRule="exact" w:line="431"/>
        <w:jc w:val="left"/>
      </w:pPr>
    </w:p>
    <w:p>
      <w:pPr>
        <w:wordWrap w:val="off"/>
        <w:spacing w:before="0" w:after="0" w:lineRule="exact" w:line="431"/>
        <w:jc w:val="left"/>
      </w:pPr>
    </w:p>
    <w:p>
      <w:pPr>
        <w:wordWrap w:val="off"/>
        <w:spacing w:before="0" w:after="0" w:lineRule="exact" w:line="431"/>
        <w:ind w:firstLineChars="2700"/>
        <w:jc w:val="left"/>
      </w:pPr>
      <w:r>
        <w:rPr>
          <w:rFonts w:ascii="宋体" w:hAnsi="宋体" w:cs="宋体" w:eastAsia="宋体"/>
          <w:color w:val="000000"/>
          <w:sz w:val="24"/>
        </w:rPr>
        <w:t>日   期：</w:t>
      </w:r>
    </w:p>
    <w:p>
      <w:pPr>
        <w:wordWrap w:val="off"/>
        <w:spacing w:before="0" w:after="0" w:lineRule="exact" w:line="431"/>
        <w:jc w:val="left"/>
      </w:pPr>
    </w:p>
    <w:p>
      <w:pPr>
        <w:wordWrap w:val="off"/>
        <w:spacing w:before="0" w:after="0" w:lineRule="exact" w:line="431"/>
        <w:jc w:val="left"/>
      </w:pPr>
    </w:p>
    <w:p>
      <w:pPr>
        <w:wordWrap w:val="off"/>
        <w:spacing w:before="0" w:after="0" w:lineRule="exact" w:line="431"/>
        <w:jc w:val="left"/>
      </w:pPr>
    </w:p>
    <w:p>
      <w:pPr>
        <w:wordWrap w:val="off"/>
        <w:spacing w:before="0" w:after="0" w:lineRule="exact" w:line="431"/>
        <w:jc w:val="left"/>
      </w:pPr>
      <w:r>
        <w:rPr>
          <w:rFonts w:ascii="宋体" w:hAnsi="宋体" w:cs="宋体" w:eastAsia="宋体"/>
          <w:color w:val="000000"/>
          <w:sz w:val="21"/>
        </w:rPr>
        <w:t>注：从业人员、营业收入、资产总额填报上一年度数据，无上一年度数据的新成立企业可不填报。</w:t>
      </w:r>
    </w:p>
    <w:p>
      <w:pPr>
        <w:sectPr>
          <w:pgSz w:w="11907" w:h="16839" w:orient="portrait"/>
          <w:pgMar w:top="1077" w:right="1154" w:bottom="1077" w:left="1154"/>
        </w:sectPr>
      </w:pPr>
    </w:p>
    <w:p>
      <w:pPr>
        <w:spacing w:before="0" w:after="0" w:lineRule="exact" w:line="480"/>
      </w:pPr>
    </w:p>
    <w:p>
      <w:pPr>
        <w:wordWrap w:val="off"/>
        <w:spacing w:before="199" w:after="199"/>
        <w:jc w:val="center"/>
        <w:outlineLvl w:val="2"/>
      </w:pPr>
      <w:r>
        <w:rPr>
          <w:rFonts w:ascii="宋体" w:hAnsi="宋体" w:cs="宋体" w:eastAsia="宋体"/>
          <w:b w:val="true"/>
          <w:color w:val="000000"/>
          <w:sz w:val="32"/>
        </w:rPr>
        <w:t>监狱企业证明函</w:t>
      </w:r>
    </w:p>
    <w:p>
      <w:pPr>
        <w:spacing w:before="0" w:after="0" w:lineRule="exact" w:line="165"/>
      </w:pPr>
    </w:p>
    <w:p>
      <w:pPr>
        <w:wordWrap w:val="off"/>
        <w:spacing w:lineRule="exact" w:line="431"/>
        <w:ind w:firstLineChars="200"/>
        <w:jc w:val="left"/>
      </w:pPr>
      <w:r>
        <w:rPr>
          <w:rFonts w:ascii="宋体" w:hAnsi="宋体" w:cs="宋体" w:eastAsia="宋体"/>
          <w:color w:val="000000"/>
          <w:sz w:val="24"/>
        </w:rPr>
        <w:t>根据《财政部 司法部关于政府采购支持监狱企业发展有关问题的通知》（财库[2014]68号）的规定，</w:t>
      </w:r>
      <w:r>
        <w:rPr>
          <w:rFonts w:ascii="宋体" w:hAnsi="宋体" w:cs="宋体" w:eastAsia="宋体"/>
          <w:color w:val="000000"/>
          <w:sz w:val="24"/>
          <w:u w:val="single"/>
        </w:rPr>
        <w:t xml:space="preserve">            </w:t>
      </w:r>
      <w:r>
        <w:rPr>
          <w:rFonts w:ascii="宋体" w:hAnsi="宋体" w:cs="宋体" w:eastAsia="宋体"/>
          <w:color w:val="000000"/>
          <w:sz w:val="24"/>
        </w:rPr>
        <w:t>（填写供应商法定全称）为监狱企业。</w:t>
      </w:r>
    </w:p>
    <w:p>
      <w:pPr>
        <w:wordWrap w:val="off"/>
        <w:spacing w:before="0" w:after="0" w:lineRule="exact" w:line="431"/>
        <w:jc w:val="left"/>
      </w:pPr>
    </w:p>
    <w:p>
      <w:pPr>
        <w:wordWrap w:val="off"/>
        <w:spacing w:before="0" w:after="0" w:lineRule="exact" w:line="431"/>
        <w:jc w:val="left"/>
      </w:pPr>
    </w:p>
    <w:p>
      <w:pPr>
        <w:wordWrap w:val="off"/>
        <w:spacing w:before="0" w:after="0" w:lineRule="exact" w:line="431"/>
        <w:ind w:firstLineChars="200"/>
        <w:jc w:val="left"/>
      </w:pPr>
      <w:r>
        <w:rPr>
          <w:rFonts w:ascii="宋体" w:hAnsi="宋体" w:cs="宋体" w:eastAsia="宋体"/>
          <w:color w:val="000000"/>
          <w:sz w:val="24"/>
        </w:rPr>
        <w:t>特此证明。</w:t>
      </w:r>
    </w:p>
    <w:p>
      <w:pPr>
        <w:wordWrap w:val="off"/>
        <w:spacing w:before="0" w:after="0" w:lineRule="exact" w:line="431"/>
        <w:jc w:val="left"/>
      </w:pPr>
    </w:p>
    <w:p>
      <w:pPr>
        <w:wordWrap w:val="off"/>
        <w:spacing w:before="0" w:after="0" w:lineRule="exact" w:line="431"/>
        <w:jc w:val="left"/>
      </w:pPr>
    </w:p>
    <w:p>
      <w:pPr>
        <w:wordWrap w:val="off"/>
        <w:spacing w:before="0" w:after="0" w:lineRule="exact" w:line="431"/>
        <w:jc w:val="left"/>
      </w:pPr>
    </w:p>
    <w:p>
      <w:pPr>
        <w:wordWrap w:val="off"/>
        <w:spacing w:before="0" w:after="0" w:lineRule="exact" w:line="431"/>
        <w:jc w:val="left"/>
      </w:pPr>
    </w:p>
    <w:p>
      <w:pPr>
        <w:wordWrap w:val="off"/>
        <w:spacing w:before="0" w:after="0" w:lineRule="exact" w:line="431"/>
        <w:jc w:val="left"/>
      </w:pPr>
    </w:p>
    <w:p>
      <w:pPr>
        <w:wordWrap w:val="off"/>
        <w:spacing w:before="0" w:after="0" w:lineRule="exact" w:line="431"/>
        <w:ind w:firstLineChars="200"/>
        <w:jc w:val="left"/>
      </w:pPr>
      <w:r>
        <w:rPr>
          <w:rFonts w:ascii="宋体" w:hAnsi="宋体" w:cs="宋体" w:eastAsia="宋体"/>
          <w:color w:val="000000"/>
          <w:sz w:val="24"/>
        </w:rPr>
        <w:t>省级以上监狱管理局、戒毒管理局（含新疆生产建设兵团）（盖章）：</w:t>
      </w:r>
    </w:p>
    <w:p>
      <w:pPr>
        <w:wordWrap w:val="off"/>
        <w:spacing w:before="0" w:after="0" w:lineRule="exact" w:line="431"/>
        <w:jc w:val="left"/>
      </w:pPr>
    </w:p>
    <w:p>
      <w:pPr>
        <w:wordWrap w:val="off"/>
        <w:spacing w:before="0" w:after="0" w:lineRule="exact" w:line="431"/>
        <w:jc w:val="left"/>
      </w:pPr>
    </w:p>
    <w:p>
      <w:pPr>
        <w:wordWrap w:val="off"/>
        <w:spacing w:before="0" w:after="0" w:lineRule="exact" w:line="431"/>
        <w:ind w:firstLineChars="3000"/>
        <w:jc w:val="left"/>
      </w:pPr>
      <w:r>
        <w:rPr>
          <w:rFonts w:ascii="宋体" w:hAnsi="宋体" w:cs="宋体" w:eastAsia="宋体"/>
          <w:color w:val="000000"/>
          <w:sz w:val="24"/>
        </w:rPr>
        <w:t>日期：</w:t>
      </w:r>
    </w:p>
    <w:p>
      <w:pPr>
        <w:sectPr>
          <w:pgSz w:w="11907" w:h="16839" w:orient="portrait"/>
          <w:pgMar w:top="1077" w:right="1154" w:bottom="1077" w:left="1154"/>
        </w:sectPr>
      </w:pPr>
    </w:p>
    <w:p>
      <w:pPr>
        <w:spacing w:before="0" w:after="0" w:lineRule="exact" w:line="480"/>
      </w:pPr>
    </w:p>
    <w:p>
      <w:pPr>
        <w:wordWrap w:val="off"/>
        <w:spacing w:before="282" w:after="282"/>
        <w:jc w:val="center"/>
        <w:outlineLvl w:val="2"/>
      </w:pPr>
      <w:r>
        <w:rPr>
          <w:rFonts w:ascii="宋体" w:hAnsi="宋体" w:cs="宋体" w:eastAsia="宋体"/>
          <w:b w:val="true"/>
          <w:color w:val="000000"/>
          <w:sz w:val="32"/>
        </w:rPr>
        <w:t>残疾人福利性单位声明函</w:t>
      </w:r>
    </w:p>
    <w:p>
      <w:pPr>
        <w:wordWrap w:val="off"/>
        <w:spacing w:lineRule="exact" w:line="431"/>
        <w:ind w:firstLineChars="200"/>
        <w:jc w:val="left"/>
      </w:pPr>
      <w:r>
        <w:rPr>
          <w:rFonts w:ascii="宋体" w:hAnsi="宋体" w:cs="宋体" w:eastAsia="宋体"/>
          <w:color w:val="000000"/>
          <w:sz w:val="24"/>
        </w:rPr>
        <w:t>本单位郑重声明，根据《财政部民政部中国残疾人联合会关于促进残疾人就业政府采购政策的通知》（财库〔2017〕 141号）的规定，本单位为符合条件的残疾人福利性单位，且本单位参加</w:t>
      </w:r>
      <w:r>
        <w:rPr>
          <w:rFonts w:ascii="宋体" w:hAnsi="宋体" w:cs="宋体" w:eastAsia="宋体"/>
          <w:color w:val="000000"/>
          <w:sz w:val="24"/>
          <w:u w:val="single"/>
        </w:rPr>
        <w:t>苏州科技大学</w:t>
      </w:r>
      <w:r>
        <w:rPr>
          <w:rFonts w:ascii="宋体" w:hAnsi="宋体" w:cs="宋体" w:eastAsia="宋体"/>
          <w:color w:val="000000"/>
          <w:sz w:val="24"/>
        </w:rPr>
        <w:t>单位的</w:t>
      </w:r>
      <w:r>
        <w:rPr>
          <w:rFonts w:ascii="宋体" w:hAnsi="宋体" w:cs="宋体" w:eastAsia="宋体"/>
          <w:color w:val="000000"/>
          <w:sz w:val="24"/>
        </w:rPr>
        <w:t>信息中心WEB资源发布系统</w:t>
      </w:r>
      <w:r>
        <w:rPr>
          <w:rFonts w:ascii="宋体" w:hAnsi="宋体" w:cs="宋体" w:eastAsia="宋体"/>
          <w:color w:val="000000"/>
          <w:sz w:val="24"/>
        </w:rPr>
        <w:t>项目采购活动提供本单位制造的货物（由本单位承担工程/提供服务），或者提供其他残疾人福利性单位制造的货物（不包括使用非残疾人福利性单位注册商标的货物）。</w:t>
      </w:r>
    </w:p>
    <w:p>
      <w:pPr>
        <w:wordWrap w:val="off"/>
        <w:spacing w:before="0" w:after="0" w:lineRule="exact" w:line="431"/>
        <w:jc w:val="left"/>
      </w:pPr>
    </w:p>
    <w:p>
      <w:pPr>
        <w:wordWrap w:val="off"/>
        <w:spacing w:before="0" w:after="0" w:lineRule="exact" w:line="431"/>
        <w:ind w:firstLineChars="200"/>
        <w:jc w:val="left"/>
      </w:pPr>
      <w:r>
        <w:rPr>
          <w:rFonts w:ascii="宋体" w:hAnsi="宋体" w:cs="宋体" w:eastAsia="宋体"/>
          <w:color w:val="000000"/>
          <w:sz w:val="24"/>
        </w:rPr>
        <w:t>本单位对上述声明的真实性负责。如有虚假，将依法承担相应责任。</w:t>
      </w:r>
    </w:p>
    <w:p>
      <w:pPr>
        <w:wordWrap w:val="off"/>
        <w:spacing w:before="0" w:after="0" w:lineRule="exact" w:line="431"/>
        <w:jc w:val="left"/>
      </w:pPr>
    </w:p>
    <w:p>
      <w:pPr>
        <w:wordWrap w:val="off"/>
        <w:spacing w:before="0" w:after="0" w:lineRule="exact" w:line="431"/>
        <w:jc w:val="left"/>
      </w:pPr>
    </w:p>
    <w:p>
      <w:pPr>
        <w:wordWrap w:val="off"/>
        <w:spacing w:before="0" w:after="0" w:lineRule="exact" w:line="431"/>
        <w:jc w:val="left"/>
      </w:pPr>
    </w:p>
    <w:p>
      <w:pPr>
        <w:wordWrap w:val="off"/>
        <w:spacing w:before="0" w:after="0" w:lineRule="exact" w:line="431"/>
        <w:ind w:firstLineChars="2300"/>
        <w:jc w:val="left"/>
      </w:pPr>
      <w:r>
        <w:rPr>
          <w:rFonts w:ascii="宋体" w:hAnsi="宋体" w:cs="宋体" w:eastAsia="宋体"/>
          <w:color w:val="000000"/>
          <w:sz w:val="24"/>
        </w:rPr>
        <w:t>供应商名称（盖章）：</w:t>
      </w:r>
    </w:p>
    <w:p>
      <w:pPr>
        <w:wordWrap w:val="off"/>
        <w:spacing w:before="0" w:after="0" w:lineRule="exact" w:line="431"/>
        <w:jc w:val="left"/>
      </w:pPr>
    </w:p>
    <w:p>
      <w:pPr>
        <w:wordWrap w:val="off"/>
        <w:spacing w:before="0" w:after="0" w:lineRule="exact" w:line="431"/>
        <w:jc w:val="left"/>
      </w:pPr>
    </w:p>
    <w:p>
      <w:pPr>
        <w:wordWrap w:val="off"/>
        <w:spacing w:before="0" w:after="0" w:lineRule="exact" w:line="431"/>
        <w:ind w:firstLineChars="3000"/>
        <w:jc w:val="left"/>
      </w:pPr>
      <w:r>
        <w:rPr>
          <w:rFonts w:ascii="宋体" w:hAnsi="宋体" w:cs="宋体" w:eastAsia="宋体"/>
          <w:color w:val="000000"/>
          <w:sz w:val="24"/>
        </w:rPr>
        <w:t>日期：</w:t>
      </w:r>
    </w:p>
    <w:p>
      <w:pPr>
        <w:spacing w:before="0" w:after="0" w:lineRule="exact" w:line="855"/>
      </w:pPr>
    </w:p>
    <w:sectPr>
      <w:pgSz w:w="11907" w:h="16839" w:orient="portrait"/>
      <w:pgMar w:top="1077" w:right="1154" w:bottom="1077" w:left="1154"/>
    </w:sectPr>
  </w:body>
</w:document>
</file>

<file path=word/footer1.xml><?xml version="1.0" encoding="utf-8"?>
<w:ftr xmlns:w="http://schemas.openxmlformats.org/wordprocessingml/2006/main">
  <w:p>
    <w:pPr>
      <w:jc w:val="center"/>
    </w:pPr>
    <w:r>
      <w:fldChar w:fldCharType="begin"/>
    </w:r>
    <w:r>
      <w:instrText>PAGE   \* MERGEFORMAT</w:instrText>
    </w:r>
    <w:r>
      <w:fldChar w:fldCharType="separate"/>
    </w:r>
    <w:r>
      <w:rPr>
        <w:noProof/>
        <w:lang w:val="zh-CN"/>
      </w:rPr>
      <w:fldChar w:fldCharType="end"/>
    </w:r>
  </w:p>
</w:ftr>
</file>

<file path=word/header1.xml><?xml version="1.0" encoding="utf-8"?>
<w:hdr xmlns:w="http://schemas.openxmlformats.org/wordprocessingml/2006/main">
  <w:p>
    <w:pPr>
      <w:pBdr>
        <w:bottom w:val="thick"/>
      </w:pBdr>
      <w:spacing w:afterLines="50"/>
    </w:pPr>
    <w:r>
      <w:t>苏州科技大学</w:t>
    </w:r>
    <w:r>
      <w:t xml:space="preserve"/>
    </w:r>
  </w:p>
</w:hdr>
</file>

<file path=word/settings.xml><?xml version="1.0" encoding="utf-8"?>
<w:settings xmlns:w="http://schemas.openxmlformats.org/wordprocessingml/2006/main"/>
</file>

<file path=word/_rels/document.xml.rels><?xml version="1.0" encoding="UTF-8" standalone="yes"?>
<Relationships xmlns="http://schemas.openxmlformats.org/package/2006/relationships">
<Relationship Id="rId1" Target="settings.xml" Type="http://schemas.openxmlformats.org/officeDocument/2006/relationships/settings"/>
<Relationship Id="rId2" Target="header1.xml" Type="http://schemas.openxmlformats.org/officeDocument/2006/relationships/header"/>
<Relationship Id="rId3" Target="footer1.xml" Type="http://schemas.openxmlformats.org/officeDocument/2006/relationships/footer"/>
</Relationships>

</file>

<file path=docProps/app.xml><?xml version="1.0" encoding="utf-8"?>
<Properties xmlns="http://schemas.openxmlformats.org/officeDocument/2006/extended-properties">
  <Application>Apache POI</Applicat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2025-11-26T07:14:23Z</dcterms:created>
  <dc:creator>Apache POI</dc:creator>
</cp:coreProperties>
</file>